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ESTUDO TÉCNICO PRELIMINAR (ETP)</w:t>
      </w:r>
    </w:p>
    <w:p w:rsidR="00000000" w:rsidDel="00000000" w:rsidP="00000000" w:rsidRDefault="00000000" w:rsidRPr="00000000" w14:paraId="00000002">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3">
      <w:pPr>
        <w:spacing w:line="360" w:lineRule="auto"/>
        <w:ind w:left="-142" w:right="-143" w:firstLine="0"/>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Este documento constitui a primeira etapa do planejamento de uma contratação que caracteriza o interesse público envolvido e a sua melhor solução e dá base ao anteprojeto, ao termo de referência ou ao projeto básico a serem elaborados, caso se conclua pela viabilidade da contratação;(Vide </w:t>
      </w:r>
      <w:hyperlink r:id="rId6">
        <w:r w:rsidDel="00000000" w:rsidR="00000000" w:rsidRPr="00000000">
          <w:rPr>
            <w:rFonts w:ascii="Arial" w:cs="Arial" w:eastAsia="Arial" w:hAnsi="Arial"/>
            <w:color w:val="1155cc"/>
            <w:sz w:val="23"/>
            <w:szCs w:val="23"/>
            <w:u w:val="single"/>
            <w:rtl w:val="0"/>
          </w:rPr>
          <w:t xml:space="preserve">IN SCM 002/2024</w:t>
        </w:r>
      </w:hyperlink>
      <w:r w:rsidDel="00000000" w:rsidR="00000000" w:rsidRPr="00000000">
        <w:rPr>
          <w:rFonts w:ascii="Arial" w:cs="Arial" w:eastAsia="Arial" w:hAnsi="Arial"/>
          <w:sz w:val="23"/>
          <w:szCs w:val="23"/>
          <w:rtl w:val="0"/>
        </w:rPr>
        <w:t xml:space="preserve"> da Secretaria de Compras)</w:t>
      </w:r>
    </w:p>
    <w:p w:rsidR="00000000" w:rsidDel="00000000" w:rsidP="00000000" w:rsidRDefault="00000000" w:rsidRPr="00000000" w14:paraId="00000004">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b w:val="1"/>
          <w:sz w:val="23"/>
          <w:szCs w:val="23"/>
          <w:rtl w:val="0"/>
        </w:rPr>
        <w:t xml:space="preserve">RESPONSÁVEL(EIS) PELO PREENCHIMENTO DO ETP</w:t>
        <w:br w:type="textWrapping"/>
        <w:t xml:space="preserve">(IN SCM 002/2024, Art. 3º, V) </w:t>
      </w:r>
      <w:r w:rsidDel="00000000" w:rsidR="00000000" w:rsidRPr="00000000">
        <w:rPr>
          <w:rtl w:val="0"/>
        </w:rPr>
      </w:r>
    </w:p>
    <w:p w:rsidR="00000000" w:rsidDel="00000000" w:rsidP="00000000" w:rsidRDefault="00000000" w:rsidRPr="00000000" w14:paraId="00000005">
      <w:pPr>
        <w:widowControl w:val="0"/>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Nome:</w:t>
      </w:r>
    </w:p>
    <w:p w:rsidR="00000000" w:rsidDel="00000000" w:rsidP="00000000" w:rsidRDefault="00000000" w:rsidRPr="00000000" w14:paraId="00000006">
      <w:pPr>
        <w:widowControl w:val="0"/>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Telefone: (ramal)</w:t>
      </w:r>
    </w:p>
    <w:p w:rsidR="00000000" w:rsidDel="00000000" w:rsidP="00000000" w:rsidRDefault="00000000" w:rsidRPr="00000000" w14:paraId="00000007">
      <w:pPr>
        <w:widowControl w:val="0"/>
        <w:pBdr>
          <w:top w:color="000000" w:space="1" w:sz="4" w:val="single"/>
          <w:left w:color="000000" w:space="4" w:sz="4" w:val="single"/>
          <w:bottom w:color="000000" w:space="1" w:sz="4" w:val="single"/>
          <w:right w:color="000000" w:space="4" w:sz="4" w:val="single"/>
        </w:pBdr>
        <w:spacing w:after="0"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E-mail:</w:t>
        <w:br w:type="textWrapping"/>
        <w:t xml:space="preserve">Área Demandante:</w:t>
      </w:r>
    </w:p>
    <w:p w:rsidR="00000000" w:rsidDel="00000000" w:rsidP="00000000" w:rsidRDefault="00000000" w:rsidRPr="00000000" w14:paraId="00000008">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9">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 - DESCRIÇÃO DA NECESSIDADE</w:t>
      </w:r>
    </w:p>
    <w:p w:rsidR="00000000" w:rsidDel="00000000" w:rsidP="00000000" w:rsidRDefault="00000000" w:rsidRPr="00000000" w14:paraId="0000000A">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sz w:val="23"/>
          <w:szCs w:val="23"/>
          <w:rtl w:val="0"/>
        </w:rPr>
        <w:t xml:space="preserve">(preenchimento obrigatório, conforme § 2° do art. 18 da Lei nº 14.133/2021)</w:t>
      </w:r>
      <w:r w:rsidDel="00000000" w:rsidR="00000000" w:rsidRPr="00000000">
        <w:rPr>
          <w:rtl w:val="0"/>
        </w:rPr>
      </w:r>
    </w:p>
    <w:p w:rsidR="00000000" w:rsidDel="00000000" w:rsidP="00000000" w:rsidRDefault="00000000" w:rsidRPr="00000000" w14:paraId="0000000B">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sz w:val="23"/>
          <w:szCs w:val="23"/>
          <w:rtl w:val="0"/>
        </w:rPr>
        <w:t xml:space="preserve">Descrição da necessidade da contratação, considerado o problema a ser resolvido sob a perspectiva do interesse público.</w:t>
      </w:r>
      <w:r w:rsidDel="00000000" w:rsidR="00000000" w:rsidRPr="00000000">
        <w:rPr>
          <w:rtl w:val="0"/>
        </w:rPr>
      </w:r>
    </w:p>
    <w:p w:rsidR="00000000" w:rsidDel="00000000" w:rsidP="00000000" w:rsidRDefault="00000000" w:rsidRPr="00000000" w14:paraId="0000000C">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detalhar neste campo a necessidade que foi identificada e que originou a demanda da contratação. Quanto mais detalhes acerca da necessidade, melhor para identificar os requisitos da futura contratação.</w:t>
      </w:r>
    </w:p>
    <w:p w:rsidR="00000000" w:rsidDel="00000000" w:rsidP="00000000" w:rsidRDefault="00000000" w:rsidRPr="00000000" w14:paraId="0000000D">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E">
      <w:pPr>
        <w:pBdr>
          <w:top w:color="000000" w:space="1" w:sz="4" w:val="single"/>
          <w:left w:color="000000" w:space="4" w:sz="4" w:val="single"/>
          <w:bottom w:color="000000" w:space="1" w:sz="4" w:val="single"/>
          <w:right w:color="000000" w:space="4" w:sz="4" w:val="single"/>
        </w:pBdr>
        <w:spacing w:line="360" w:lineRule="auto"/>
        <w:jc w:val="center"/>
        <w:rPr>
          <w:rFonts w:ascii="Arial" w:cs="Arial" w:eastAsia="Arial" w:hAnsi="Arial"/>
          <w:sz w:val="23"/>
          <w:szCs w:val="23"/>
        </w:rPr>
      </w:pPr>
      <w:r w:rsidDel="00000000" w:rsidR="00000000" w:rsidRPr="00000000">
        <w:rPr>
          <w:rFonts w:ascii="Arial" w:cs="Arial" w:eastAsia="Arial" w:hAnsi="Arial"/>
          <w:b w:val="1"/>
          <w:sz w:val="23"/>
          <w:szCs w:val="23"/>
          <w:rtl w:val="0"/>
        </w:rPr>
        <w:t xml:space="preserve">II - PLANO DE CONTRATAÇÕES ANUAL</w:t>
      </w:r>
      <w:r w:rsidDel="00000000" w:rsidR="00000000" w:rsidRPr="00000000">
        <w:rPr>
          <w:rFonts w:ascii="Arial" w:cs="Arial" w:eastAsia="Arial" w:hAnsi="Arial"/>
          <w:sz w:val="23"/>
          <w:szCs w:val="23"/>
          <w:rtl w:val="0"/>
        </w:rPr>
        <w:br w:type="textWrapping"/>
        <w:t xml:space="preserve">(preenchimento obrigatório, </w:t>
      </w:r>
      <w:r w:rsidDel="00000000" w:rsidR="00000000" w:rsidRPr="00000000">
        <w:rPr>
          <w:rFonts w:ascii="Arial" w:cs="Arial" w:eastAsia="Arial" w:hAnsi="Arial"/>
          <w:b w:val="1"/>
          <w:sz w:val="23"/>
          <w:szCs w:val="23"/>
          <w:rtl w:val="0"/>
        </w:rPr>
        <w:t xml:space="preserve">IN SCM 002/2024, Art. 5º</w:t>
      </w:r>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00F">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Demonstração da previsão da contratação no Plano de Contratações Anual, de modo a indicar o seu alinhamento com o planejamento da Administração.</w:t>
      </w:r>
    </w:p>
    <w:p w:rsidR="00000000" w:rsidDel="00000000" w:rsidP="00000000" w:rsidRDefault="00000000" w:rsidRPr="00000000" w14:paraId="00000010">
      <w:pPr>
        <w:pBdr>
          <w:top w:color="000000" w:space="1" w:sz="4" w:val="single"/>
          <w:left w:color="000000" w:space="4" w:sz="4" w:val="single"/>
          <w:bottom w:color="000000" w:space="1" w:sz="4" w:val="single"/>
          <w:right w:color="000000" w:space="4" w:sz="4" w:val="single"/>
        </w:pBdr>
        <w:spacing w:line="360" w:lineRule="auto"/>
        <w:jc w:val="both"/>
        <w:rPr>
          <w:rFonts w:ascii="Arial" w:cs="Arial" w:eastAsia="Arial" w:hAnsi="Arial"/>
          <w:sz w:val="23"/>
          <w:szCs w:val="23"/>
        </w:rPr>
      </w:pPr>
      <w:r w:rsidDel="00000000" w:rsidR="00000000" w:rsidRPr="00000000">
        <w:rPr>
          <w:rFonts w:ascii="Arial" w:cs="Arial" w:eastAsia="Arial" w:hAnsi="Arial"/>
          <w:b w:val="1"/>
          <w:sz w:val="23"/>
          <w:szCs w:val="23"/>
          <w:rtl w:val="0"/>
        </w:rPr>
        <w:t xml:space="preserve">Nota explicativa: O ETP deverá estar alinhado com o Plano de Contratações Anual, além de outros instrumentos de planejamento da Administração.</w:t>
      </w:r>
      <w:r w:rsidDel="00000000" w:rsidR="00000000" w:rsidRPr="00000000">
        <w:rPr>
          <w:rtl w:val="0"/>
        </w:rPr>
      </w:r>
    </w:p>
    <w:p w:rsidR="00000000" w:rsidDel="00000000" w:rsidP="00000000" w:rsidRDefault="00000000" w:rsidRPr="00000000" w14:paraId="00000011">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2">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III – REQUISITOS DA CONTRATAÇÃO</w:t>
      </w:r>
    </w:p>
    <w:p w:rsidR="00000000" w:rsidDel="00000000" w:rsidP="00000000" w:rsidRDefault="00000000" w:rsidRPr="00000000" w14:paraId="00000013">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facultativo, desde que justificado, conforme § 2° do art. 18 da Lei nº 14.133/2021)</w:t>
      </w:r>
    </w:p>
    <w:p w:rsidR="00000000" w:rsidDel="00000000" w:rsidP="00000000" w:rsidRDefault="00000000" w:rsidRPr="00000000" w14:paraId="00000014">
      <w:pPr>
        <w:widowControl w:val="0"/>
        <w:pBdr>
          <w:top w:color="000000" w:space="1" w:sz="4" w:val="single"/>
          <w:left w:color="000000" w:space="4" w:sz="4" w:val="single"/>
          <w:bottom w:color="000000" w:space="1" w:sz="4" w:val="single"/>
          <w:right w:color="000000" w:space="4" w:sz="4" w:val="single"/>
        </w:pBdr>
        <w:tabs>
          <w:tab w:val="left" w:leader="none" w:pos="142"/>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Descrição dos requisitos necessários e suficientes à escolha da solução, prevendo critérios e práticas de sustentabilidade.</w:t>
      </w:r>
    </w:p>
    <w:p w:rsidR="00000000" w:rsidDel="00000000" w:rsidP="00000000" w:rsidRDefault="00000000" w:rsidRPr="00000000" w14:paraId="00000015">
      <w:pPr>
        <w:widowControl w:val="0"/>
        <w:pBdr>
          <w:top w:color="000000" w:space="1" w:sz="4" w:val="single"/>
          <w:left w:color="000000" w:space="4" w:sz="4" w:val="single"/>
          <w:bottom w:color="000000" w:space="1" w:sz="4" w:val="single"/>
          <w:right w:color="000000" w:space="4" w:sz="4" w:val="single"/>
        </w:pBdr>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descrição dos requisitos da contratação necessários e suficientes à escolha da solução, observadas as leis ou regulamentações específicas, bem como padrões mínimos de qualidade e desempenho, descrever os requisitos necessários à contratação com vistas ao atendimento da necessidade especificada, como, por exemplo, as condições indispensáveis que devem ser atendidas em cada uma das soluções consideradas pela Administração. Importante listar todos os requisitos que sejam essenciais, abstendo-se de relacionar os desnecessários e especificações demasiadas, para não frustrar o caráter competitivo da futura licitação.</w:t>
      </w:r>
    </w:p>
    <w:p w:rsidR="00000000" w:rsidDel="00000000" w:rsidP="00000000" w:rsidRDefault="00000000" w:rsidRPr="00000000" w14:paraId="00000016">
      <w:pPr>
        <w:widowControl w:val="0"/>
        <w:pBdr>
          <w:top w:color="000000" w:space="1" w:sz="4" w:val="single"/>
          <w:left w:color="000000" w:space="4" w:sz="4" w:val="single"/>
          <w:bottom w:color="000000" w:space="1" w:sz="4" w:val="single"/>
          <w:right w:color="000000" w:space="4" w:sz="4" w:val="single"/>
        </w:pBdr>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Destacar aqui os critérios de sustentabilidade sob as suas diferentes dimensões (ambiental, social e econômica, por exemplo). </w:t>
      </w:r>
    </w:p>
    <w:p w:rsidR="00000000" w:rsidDel="00000000" w:rsidP="00000000" w:rsidRDefault="00000000" w:rsidRPr="00000000" w14:paraId="00000017">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18">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IV – ESTIMATIVA DAS QUANTIDADES</w:t>
      </w:r>
    </w:p>
    <w:p w:rsidR="00000000" w:rsidDel="00000000" w:rsidP="00000000" w:rsidRDefault="00000000" w:rsidRPr="00000000" w14:paraId="00000019">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obrigatório, conforme § 2° do art. 18 da Lei nº 14.133/2021)</w:t>
      </w:r>
    </w:p>
    <w:p w:rsidR="00000000" w:rsidDel="00000000" w:rsidP="00000000" w:rsidRDefault="00000000" w:rsidRPr="00000000" w14:paraId="0000001A">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Estimativa das quantidades a serem contratadas, acompanhada das memórias de cálculo e dos documentos que lhe dão suporte, considerando a interdependência com outras contratações, de modo a possibilitar economia de escala.</w:t>
      </w:r>
    </w:p>
    <w:p w:rsidR="00000000" w:rsidDel="00000000" w:rsidP="00000000" w:rsidRDefault="00000000" w:rsidRPr="00000000" w14:paraId="0000001B">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apresentar a origem das quantidades, o que pode ser feito por meio de planilhas ou de relatórios para justificar o quantitativo de cada item da solução pretendida. Essas quantidades devem ser estimadas em função do consumo anterior (perfil de consumo)  e da provável utilização. No caso de registro de preços, podem ser obtidos os consumos do órgão em atas de registro de preço já encerradas</w:t>
      </w:r>
    </w:p>
    <w:p w:rsidR="00000000" w:rsidDel="00000000" w:rsidP="00000000" w:rsidRDefault="00000000" w:rsidRPr="00000000" w14:paraId="0000001C">
      <w:pPr>
        <w:widowControl w:val="0"/>
        <w:tabs>
          <w:tab w:val="left" w:leader="none" w:pos="280"/>
        </w:tabs>
        <w:spacing w:after="0" w:line="360" w:lineRule="auto"/>
        <w:ind w:left="279" w:firstLine="0"/>
        <w:jc w:val="both"/>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1D">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V – LEVANTAMENTO DE MERCADO</w:t>
      </w:r>
    </w:p>
    <w:p w:rsidR="00000000" w:rsidDel="00000000" w:rsidP="00000000" w:rsidRDefault="00000000" w:rsidRPr="00000000" w14:paraId="0000001E">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facultativo, desde que justificado, conforme § 2° do art. 18 da Lei nº 14.133/2021)</w:t>
      </w:r>
    </w:p>
    <w:p w:rsidR="00000000" w:rsidDel="00000000" w:rsidP="00000000" w:rsidRDefault="00000000" w:rsidRPr="00000000" w14:paraId="0000001F">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Levantamento de mercado, que consiste na análise das alternativas possíveis, e justificativa técnica e econômica da escolha do tipo de solução a contratar, podendo, entre outras opções:</w:t>
      </w:r>
    </w:p>
    <w:p w:rsidR="00000000" w:rsidDel="00000000" w:rsidP="00000000" w:rsidRDefault="00000000" w:rsidRPr="00000000" w14:paraId="00000020">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a) ser consideradas contratações similares feitas por outros órgãos e entidades públicas, bem como por organizações privadas, no contexto nacional ou internacional, com objetivo de identificar a existência de novas metodologias, tecnologias ou inovações que melhor atendam às necessidades da Administração;</w:t>
      </w:r>
    </w:p>
    <w:p w:rsidR="00000000" w:rsidDel="00000000" w:rsidP="00000000" w:rsidRDefault="00000000" w:rsidRPr="00000000" w14:paraId="00000021">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b) ser realizada audiência e/ou consulta pública, preferencialmente na forma eletrônica, para coleta de contribuições;</w:t>
      </w:r>
    </w:p>
    <w:p w:rsidR="00000000" w:rsidDel="00000000" w:rsidP="00000000" w:rsidRDefault="00000000" w:rsidRPr="00000000" w14:paraId="00000022">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c) em caso de possibilidade de compra, locação de bens ou do acesso a bens, ser avaliados os custos e os benefícios de cada opção para escolha da alternativa mais vantajosa, prospectando-se arranjos inovadores em sede de economia circular; e</w:t>
      </w:r>
    </w:p>
    <w:p w:rsidR="00000000" w:rsidDel="00000000" w:rsidP="00000000" w:rsidRDefault="00000000" w:rsidRPr="00000000" w14:paraId="00000023">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 ser consideradas outras opções logísticas menos onerosas à Administração.</w:t>
      </w:r>
    </w:p>
    <w:p w:rsidR="00000000" w:rsidDel="00000000" w:rsidP="00000000" w:rsidRDefault="00000000" w:rsidRPr="00000000" w14:paraId="00000024">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pesquisar e indicar as diferentes soluções existentes no mercado e que podem atender à necessidade levantada.</w:t>
      </w:r>
    </w:p>
    <w:p w:rsidR="00000000" w:rsidDel="00000000" w:rsidP="00000000" w:rsidRDefault="00000000" w:rsidRPr="00000000" w14:paraId="00000025">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Solução 1 – Descrição completa e Preço Estimado</w:t>
      </w:r>
    </w:p>
    <w:p w:rsidR="00000000" w:rsidDel="00000000" w:rsidP="00000000" w:rsidRDefault="00000000" w:rsidRPr="00000000" w14:paraId="00000026">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Solução 2 – Descrição completa e Preço Estimado</w:t>
      </w:r>
    </w:p>
    <w:p w:rsidR="00000000" w:rsidDel="00000000" w:rsidP="00000000" w:rsidRDefault="00000000" w:rsidRPr="00000000" w14:paraId="00000027">
      <w:pPr>
        <w:widowControl w:val="0"/>
        <w:pBdr>
          <w:top w:color="000000" w:space="1" w:sz="4" w:val="single"/>
          <w:left w:color="000000" w:space="4" w:sz="4" w:val="single"/>
          <w:bottom w:color="000000" w:space="1" w:sz="4" w:val="single"/>
          <w:right w:color="000000" w:space="4" w:sz="4" w:val="single"/>
        </w:pBdr>
        <w:tabs>
          <w:tab w:val="left" w:leader="none" w:pos="567"/>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Fazer uma comparação entre as soluções encontradas no mercado para mostrar, de forma objetiva, qual delas é a mais vantajosa para a Administração sob os aspectos da conveniência, economicidade e eficiência. A comparação deve considerar os custos e benefícios durante o ciclo de vida do objeto (melhor relação custo-benefício).</w:t>
      </w:r>
    </w:p>
    <w:p w:rsidR="00000000" w:rsidDel="00000000" w:rsidP="00000000" w:rsidRDefault="00000000" w:rsidRPr="00000000" w14:paraId="00000028">
      <w:pPr>
        <w:widowControl w:val="0"/>
        <w:spacing w:after="0" w:line="360" w:lineRule="auto"/>
        <w:ind w:right="113"/>
        <w:jc w:val="both"/>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29">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VI – ESTIMATIVA DO PREÇO DA CONTRATAÇÃO</w:t>
      </w:r>
    </w:p>
    <w:p w:rsidR="00000000" w:rsidDel="00000000" w:rsidP="00000000" w:rsidRDefault="00000000" w:rsidRPr="00000000" w14:paraId="0000002A">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obrigatório, conforme § 2° do art. 18 da Lei nº 14.133/2021)</w:t>
      </w:r>
    </w:p>
    <w:p w:rsidR="00000000" w:rsidDel="00000000" w:rsidP="00000000" w:rsidRDefault="00000000" w:rsidRPr="00000000" w14:paraId="0000002B">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000000" w:rsidDel="00000000" w:rsidP="00000000" w:rsidRDefault="00000000" w:rsidRPr="00000000" w14:paraId="0000002C">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Essa estimativa de preços preliminar visa à escolha da melhor solução para a contratação e à análise de sua viabilidade.</w:t>
      </w:r>
    </w:p>
    <w:p w:rsidR="00000000" w:rsidDel="00000000" w:rsidP="00000000" w:rsidRDefault="00000000" w:rsidRPr="00000000" w14:paraId="0000002D">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 Para a contratação de serviços com dedicação exclusiva de mão-de-obra, a estimativa de valor poderá ser obtida por meio de planilha de custos. </w:t>
      </w:r>
    </w:p>
    <w:p w:rsidR="00000000" w:rsidDel="00000000" w:rsidP="00000000" w:rsidRDefault="00000000" w:rsidRPr="00000000" w14:paraId="0000002E">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c) Para a contratação de obras e de serviços de engenharia, a estimativa de valor de cada solução deverá levar em consideração as metodologias de preços  formuladas pelos órgãos responsáveis pela elaboração das peças técnicas, de acordo com as disposições do § 2º do art. 23 da Lei n.º 14.133/2021</w:t>
      </w:r>
    </w:p>
    <w:p w:rsidR="00000000" w:rsidDel="00000000" w:rsidP="00000000" w:rsidRDefault="00000000" w:rsidRPr="00000000" w14:paraId="0000002F">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0">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VII - ESCOLHA E JUSTIFICATIVA DA SOLUÇÃO MAIS ADEQUADA</w:t>
      </w:r>
    </w:p>
    <w:p w:rsidR="00000000" w:rsidDel="00000000" w:rsidP="00000000" w:rsidRDefault="00000000" w:rsidRPr="00000000" w14:paraId="00000031">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obrigatório,conforme § 2° do art. 18 da Lei nº 14.133/2021)</w:t>
      </w:r>
    </w:p>
    <w:p w:rsidR="00000000" w:rsidDel="00000000" w:rsidP="00000000" w:rsidRDefault="00000000" w:rsidRPr="00000000" w14:paraId="00000032">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São os argumentos favoráveis à escolha da solução, com base na análise dos cenários e na pesquisa de mercado. Descrição da solução escolhida como um todo, inclusive das exigências relacionadas à manutenção e à assistência técnica, quando for o caso.</w:t>
      </w:r>
    </w:p>
    <w:p w:rsidR="00000000" w:rsidDel="00000000" w:rsidP="00000000" w:rsidRDefault="00000000" w:rsidRPr="00000000" w14:paraId="00000033">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após conclusão do estudo comparativo entre as soluções, descrever aqui  a solução que se mostrou mais vantajosa para a contratação. Lembrando que essa solução deverá ser caracterizada detalhadamente no Termo de Referência ou Projeto Básico.</w:t>
      </w:r>
    </w:p>
    <w:p w:rsidR="00000000" w:rsidDel="00000000" w:rsidP="00000000" w:rsidRDefault="00000000" w:rsidRPr="00000000" w14:paraId="00000034">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5">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VIII – JUSTIFICATIVA PARA PARCELAMENTO</w:t>
      </w:r>
    </w:p>
    <w:p w:rsidR="00000000" w:rsidDel="00000000" w:rsidP="00000000" w:rsidRDefault="00000000" w:rsidRPr="00000000" w14:paraId="00000036">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obrigatório, conforme </w:t>
      </w:r>
      <w:r w:rsidDel="00000000" w:rsidR="00000000" w:rsidRPr="00000000">
        <w:rPr>
          <w:rFonts w:ascii="Arial" w:cs="Arial" w:eastAsia="Arial" w:hAnsi="Arial"/>
          <w:b w:val="1"/>
          <w:sz w:val="23"/>
          <w:szCs w:val="23"/>
          <w:rtl w:val="0"/>
        </w:rPr>
        <w:t xml:space="preserve">IN SCM 002/2024, Art. 7º, VII</w:t>
      </w:r>
      <w:r w:rsidDel="00000000" w:rsidR="00000000" w:rsidRPr="00000000">
        <w:rPr>
          <w:rFonts w:ascii="Arial" w:cs="Arial" w:eastAsia="Arial" w:hAnsi="Arial"/>
          <w:sz w:val="23"/>
          <w:szCs w:val="23"/>
          <w:rtl w:val="0"/>
        </w:rPr>
        <w:t xml:space="preserve">)</w:t>
      </w:r>
    </w:p>
    <w:p w:rsidR="00000000" w:rsidDel="00000000" w:rsidP="00000000" w:rsidRDefault="00000000" w:rsidRPr="00000000" w14:paraId="00000037">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Justificativas para o parcelamento ou não da contratação.</w:t>
      </w:r>
    </w:p>
    <w:p w:rsidR="00000000" w:rsidDel="00000000" w:rsidP="00000000" w:rsidRDefault="00000000" w:rsidRPr="00000000" w14:paraId="00000038">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analisar a possibilidade de divisão da contratação, identificando, por exemplo:</w:t>
      </w:r>
    </w:p>
    <w:p w:rsidR="00000000" w:rsidDel="00000000" w:rsidP="00000000" w:rsidRDefault="00000000" w:rsidRPr="00000000" w14:paraId="00000039">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1. se o objeto é composto por itens divisíveis ou não, de acordo com suas características técnicas e peculiaridades de comercialização no mercado;</w:t>
      </w:r>
    </w:p>
    <w:p w:rsidR="00000000" w:rsidDel="00000000" w:rsidP="00000000" w:rsidRDefault="00000000" w:rsidRPr="00000000" w14:paraId="0000003A">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2.  a forma de consumo/contratação dos objetos (isoladamente ou em conjunto);</w:t>
      </w:r>
    </w:p>
    <w:p w:rsidR="00000000" w:rsidDel="00000000" w:rsidP="00000000" w:rsidRDefault="00000000" w:rsidRPr="00000000" w14:paraId="0000003B">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3. quantas contratações/fornecedores são necessárias para atender a solução, considerando a formação dos lotes (lotes com um único item ou lotes com vários itens);</w:t>
      </w:r>
    </w:p>
    <w:p w:rsidR="00000000" w:rsidDel="00000000" w:rsidP="00000000" w:rsidRDefault="00000000" w:rsidRPr="00000000" w14:paraId="0000003C">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4. o aproveitamento das peculiaridades do mercado local, com vistas à economicidade, sempre que possível, desde que atendidos os parâmetros de qualidade; e</w:t>
      </w:r>
    </w:p>
    <w:p w:rsidR="00000000" w:rsidDel="00000000" w:rsidP="00000000" w:rsidRDefault="00000000" w:rsidRPr="00000000" w14:paraId="0000003D">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5. se há restrição de competição, evitando a concentração de mercado.</w:t>
      </w:r>
    </w:p>
    <w:p w:rsidR="00000000" w:rsidDel="00000000" w:rsidP="00000000" w:rsidRDefault="00000000" w:rsidRPr="00000000" w14:paraId="0000003E">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O parcelamento não será adotado quando:</w:t>
      </w:r>
    </w:p>
    <w:p w:rsidR="00000000" w:rsidDel="00000000" w:rsidP="00000000" w:rsidRDefault="00000000" w:rsidRPr="00000000" w14:paraId="0000003F">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1. a economia de escala, a redução de custos de gestão de contratos ou a maior vantagem na contratação recomendar a compra do item do mesmo fornecedor;</w:t>
      </w:r>
    </w:p>
    <w:p w:rsidR="00000000" w:rsidDel="00000000" w:rsidP="00000000" w:rsidRDefault="00000000" w:rsidRPr="00000000" w14:paraId="00000040">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2. o objeto a ser contratado configurar sistema único e integrado e houver a possibilidade de risco ao conjunto do objeto pretendido;</w:t>
      </w:r>
    </w:p>
    <w:p w:rsidR="00000000" w:rsidDel="00000000" w:rsidP="00000000" w:rsidRDefault="00000000" w:rsidRPr="00000000" w14:paraId="00000041">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3. o processo de padronização ou de escolha de marca levar a fornecedor exclusivo.</w:t>
      </w:r>
    </w:p>
    <w:p w:rsidR="00000000" w:rsidDel="00000000" w:rsidP="00000000" w:rsidRDefault="00000000" w:rsidRPr="00000000" w14:paraId="00000042">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3">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IX - DEMONSTRATIVO DOS RESULTADOS PRETENDIDOS</w:t>
      </w:r>
    </w:p>
    <w:p w:rsidR="00000000" w:rsidDel="00000000" w:rsidP="00000000" w:rsidRDefault="00000000" w:rsidRPr="00000000" w14:paraId="00000044">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facultativo, desde que justificado, conforme § 2° do art. 18 da Lei nº 14.133/2021)</w:t>
      </w:r>
    </w:p>
    <w:p w:rsidR="00000000" w:rsidDel="00000000" w:rsidP="00000000" w:rsidRDefault="00000000" w:rsidRPr="00000000" w14:paraId="00000045">
      <w:pPr>
        <w:widowControl w:val="0"/>
        <w:pBdr>
          <w:top w:color="000000" w:space="1" w:sz="4" w:val="single"/>
          <w:left w:color="000000" w:space="4" w:sz="4" w:val="single"/>
          <w:bottom w:color="000000" w:space="1" w:sz="4" w:val="single"/>
          <w:right w:color="000000" w:space="4" w:sz="4" w:val="single"/>
        </w:pBdr>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Demonstrativo dos resultados pretendidos em termos de economicidade e de melhor aproveitamento dos recursos humanos, materiais e financeiros disponíveis.</w:t>
      </w:r>
    </w:p>
    <w:p w:rsidR="00000000" w:rsidDel="00000000" w:rsidP="00000000" w:rsidRDefault="00000000" w:rsidRPr="00000000" w14:paraId="00000046">
      <w:pPr>
        <w:widowControl w:val="0"/>
        <w:pBdr>
          <w:top w:color="000000" w:space="1" w:sz="4" w:val="single"/>
          <w:left w:color="000000" w:space="4" w:sz="4" w:val="single"/>
          <w:bottom w:color="000000" w:space="1" w:sz="4" w:val="single"/>
          <w:right w:color="000000" w:space="4" w:sz="4" w:val="single"/>
        </w:pBdr>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os resultados pretendidos são os benefícios diretos que o órgão almeja com a contratação da solução, em termos de economicidade, eficácia, eficiência, de melhor aproveitamento dos recursos humanos, materiais e financeiros disponíveis, inclusive com respeito a impactos ambientais positivos (e.g. diminuição do consumo de papel ou de energia elétrica), bem como, se for caso, de melhoria da qualidade de produtos ou serviços, de forma a atender à necessidade da contratação.</w:t>
      </w:r>
    </w:p>
    <w:p w:rsidR="00000000" w:rsidDel="00000000" w:rsidP="00000000" w:rsidRDefault="00000000" w:rsidRPr="00000000" w14:paraId="00000047">
      <w:pPr>
        <w:widowControl w:val="0"/>
        <w:pBdr>
          <w:top w:color="000000" w:space="1" w:sz="4" w:val="single"/>
          <w:left w:color="000000" w:space="4" w:sz="4" w:val="single"/>
          <w:bottom w:color="000000" w:space="1" w:sz="4" w:val="single"/>
          <w:right w:color="000000" w:space="4" w:sz="4" w:val="single"/>
        </w:pBdr>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 depender da complexidade da contratação, os resultados pretendidos subsidiam a criação dos indicadores de desempenho que serão utilizados no Acordo de Níveis de Serviço ou Instrumento de Medição de Resultados, se for o caso.</w:t>
      </w:r>
    </w:p>
    <w:p w:rsidR="00000000" w:rsidDel="00000000" w:rsidP="00000000" w:rsidRDefault="00000000" w:rsidRPr="00000000" w14:paraId="00000048">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9">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X – PROVIDÊNCIAS PRÉVIAS AO CONTRATO</w:t>
      </w:r>
    </w:p>
    <w:p w:rsidR="00000000" w:rsidDel="00000000" w:rsidP="00000000" w:rsidRDefault="00000000" w:rsidRPr="00000000" w14:paraId="0000004A">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facultativo, desde que justificado, conforme § 2° do art. 18 da Lei nº 14.133/2021)</w:t>
      </w:r>
    </w:p>
    <w:p w:rsidR="00000000" w:rsidDel="00000000" w:rsidP="00000000" w:rsidRDefault="00000000" w:rsidRPr="00000000" w14:paraId="0000004B">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Providências a serem adotadas pela administração previamente à celebração do contrato, inclusive quanto à capacitação de servidores ou de empregados para fiscalização e gestão contratual.</w:t>
      </w:r>
    </w:p>
    <w:p w:rsidR="00000000" w:rsidDel="00000000" w:rsidP="00000000" w:rsidRDefault="00000000" w:rsidRPr="00000000" w14:paraId="0000004C">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verificar e informar que ações deverão ser executadas pela Administração antes da formalização da futura contratação, com vistas à correta execução contratual (exemplos: pequenas intervenções de engenharia, ajustes de sistemas, capacitação de servidores para fiscalização e gestão contratual, adaptações no ambiente do órgão, obtenção de licenças, outorgas ou autorizações etc).</w:t>
      </w:r>
    </w:p>
    <w:p w:rsidR="00000000" w:rsidDel="00000000" w:rsidP="00000000" w:rsidRDefault="00000000" w:rsidRPr="00000000" w14:paraId="0000004D">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E">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XI – CONTRATAÇÕES CORRELATAS/INTERDEPENDENTES</w:t>
      </w:r>
    </w:p>
    <w:p w:rsidR="00000000" w:rsidDel="00000000" w:rsidP="00000000" w:rsidRDefault="00000000" w:rsidRPr="00000000" w14:paraId="0000004F">
      <w:pPr>
        <w:widowControl w:val="0"/>
        <w:pBdr>
          <w:top w:color="000000" w:space="1" w:sz="4" w:val="single"/>
          <w:left w:color="000000" w:space="4" w:sz="4" w:val="single"/>
          <w:bottom w:color="000000" w:space="1" w:sz="4" w:val="single"/>
          <w:right w:color="000000" w:space="4" w:sz="4" w:val="single"/>
        </w:pBdr>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facultativo, desde que justificado, conforme § 2° do art. 18 da Lei nº 14.133/2021)</w:t>
      </w:r>
    </w:p>
    <w:p w:rsidR="00000000" w:rsidDel="00000000" w:rsidP="00000000" w:rsidRDefault="00000000" w:rsidRPr="00000000" w14:paraId="00000050">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Contratações correlatas e/ou interdependentes.</w:t>
      </w:r>
    </w:p>
    <w:p w:rsidR="00000000" w:rsidDel="00000000" w:rsidP="00000000" w:rsidRDefault="00000000" w:rsidRPr="00000000" w14:paraId="00000051">
      <w:pPr>
        <w:widowControl w:val="0"/>
        <w:pBdr>
          <w:top w:color="000000" w:space="1" w:sz="4" w:val="single"/>
          <w:left w:color="000000" w:space="4" w:sz="4" w:val="single"/>
          <w:bottom w:color="000000" w:space="1" w:sz="4" w:val="single"/>
          <w:right w:color="000000" w:space="4" w:sz="4" w:val="single"/>
        </w:pBdr>
        <w:tabs>
          <w:tab w:val="left" w:leader="none" w:pos="280"/>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uma visão global do órgão ou entidade pública com vistas a identificar se   existem em andamento contratações correlatas ou interdependentes que venham a interferir ou merecer maiores cuidados no planejamento da futura contratação.</w:t>
      </w:r>
    </w:p>
    <w:p w:rsidR="00000000" w:rsidDel="00000000" w:rsidP="00000000" w:rsidRDefault="00000000" w:rsidRPr="00000000" w14:paraId="00000052">
      <w:pPr>
        <w:widowControl w:val="0"/>
        <w:spacing w:after="0" w:line="360" w:lineRule="auto"/>
        <w:ind w:left="102" w:right="115" w:firstLine="0"/>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3">
      <w:pPr>
        <w:widowControl w:val="0"/>
        <w:pBdr>
          <w:top w:color="000000" w:space="1" w:sz="4" w:val="single"/>
          <w:left w:color="000000" w:space="4" w:sz="4" w:val="single"/>
          <w:bottom w:color="000000" w:space="1" w:sz="4" w:val="single"/>
          <w:right w:color="000000" w:space="11" w:sz="4" w:val="single"/>
        </w:pBdr>
        <w:spacing w:after="0" w:line="360" w:lineRule="auto"/>
        <w:ind w:right="101"/>
        <w:jc w:val="center"/>
        <w:rPr>
          <w:rFonts w:ascii="Arial" w:cs="Arial" w:eastAsia="Arial" w:hAnsi="Arial"/>
          <w:sz w:val="23"/>
          <w:szCs w:val="23"/>
        </w:rPr>
      </w:pPr>
      <w:r w:rsidDel="00000000" w:rsidR="00000000" w:rsidRPr="00000000">
        <w:rPr>
          <w:rFonts w:ascii="Arial" w:cs="Arial" w:eastAsia="Arial" w:hAnsi="Arial"/>
          <w:b w:val="1"/>
          <w:sz w:val="23"/>
          <w:szCs w:val="23"/>
          <w:rtl w:val="0"/>
        </w:rPr>
        <w:t xml:space="preserve">XII – IMPACTOS AMBIENTAIS</w:t>
      </w:r>
      <w:r w:rsidDel="00000000" w:rsidR="00000000" w:rsidRPr="00000000">
        <w:rPr>
          <w:rtl w:val="0"/>
        </w:rPr>
      </w:r>
    </w:p>
    <w:p w:rsidR="00000000" w:rsidDel="00000000" w:rsidP="00000000" w:rsidRDefault="00000000" w:rsidRPr="00000000" w14:paraId="00000054">
      <w:pPr>
        <w:widowControl w:val="0"/>
        <w:pBdr>
          <w:top w:color="000000" w:space="1" w:sz="4" w:val="single"/>
          <w:left w:color="000000" w:space="4" w:sz="4" w:val="single"/>
          <w:bottom w:color="000000" w:space="1" w:sz="4" w:val="single"/>
          <w:right w:color="000000" w:space="11" w:sz="4" w:val="single"/>
        </w:pBdr>
        <w:spacing w:after="0" w:line="360" w:lineRule="auto"/>
        <w:ind w:right="101"/>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facultativo, desde que justificado, conforme § 2° do art. 18 da Lei nº 14.133/2021)</w:t>
      </w:r>
    </w:p>
    <w:p w:rsidR="00000000" w:rsidDel="00000000" w:rsidP="00000000" w:rsidRDefault="00000000" w:rsidRPr="00000000" w14:paraId="00000055">
      <w:pPr>
        <w:widowControl w:val="0"/>
        <w:pBdr>
          <w:top w:color="000000" w:space="1" w:sz="4" w:val="single"/>
          <w:left w:color="000000" w:space="4" w:sz="4" w:val="single"/>
          <w:bottom w:color="000000" w:space="1" w:sz="4" w:val="single"/>
          <w:right w:color="000000" w:space="11" w:sz="4" w:val="single"/>
        </w:pBdr>
        <w:spacing w:after="0" w:line="360" w:lineRule="auto"/>
        <w:ind w:right="101"/>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Descrição de possíveis impactos ambientais e respectivas medidas mitigadoras, incluídos requisitos de baixo consumo de energia e de outros recursos, bem como logística reversa para desfazimento e reciclagem de bens e refugos, quando aplicável.</w:t>
      </w:r>
    </w:p>
    <w:p w:rsidR="00000000" w:rsidDel="00000000" w:rsidP="00000000" w:rsidRDefault="00000000" w:rsidRPr="00000000" w14:paraId="00000056">
      <w:pPr>
        <w:widowControl w:val="0"/>
        <w:pBdr>
          <w:top w:color="000000" w:space="1" w:sz="4" w:val="single"/>
          <w:left w:color="000000" w:space="4" w:sz="4" w:val="single"/>
          <w:bottom w:color="000000" w:space="1" w:sz="4" w:val="single"/>
          <w:right w:color="000000" w:space="11" w:sz="4" w:val="single"/>
        </w:pBdr>
        <w:spacing w:after="0" w:line="360" w:lineRule="auto"/>
        <w:ind w:right="101"/>
        <w:jc w:val="both"/>
        <w:rPr>
          <w:rFonts w:ascii="Arial" w:cs="Arial" w:eastAsia="Arial" w:hAnsi="Arial"/>
          <w:sz w:val="23"/>
          <w:szCs w:val="23"/>
        </w:rPr>
      </w:pPr>
      <w:r w:rsidDel="00000000" w:rsidR="00000000" w:rsidRPr="00000000">
        <w:rPr>
          <w:rFonts w:ascii="Arial" w:cs="Arial" w:eastAsia="Arial" w:hAnsi="Arial"/>
          <w:b w:val="1"/>
          <w:sz w:val="23"/>
          <w:szCs w:val="23"/>
          <w:rtl w:val="0"/>
        </w:rPr>
        <w:t xml:space="preserve">Nota explicativa: sob a ótica da dimensão ambiental da sustentabilidade, deverão ser identificados possíveis impactos em decorrência da contratação pretendida e relacionadas às medidas mitigadoras (ações de prevenção e contingência para afastar/tratar os riscos).</w:t>
      </w:r>
      <w:r w:rsidDel="00000000" w:rsidR="00000000" w:rsidRPr="00000000">
        <w:rPr>
          <w:rtl w:val="0"/>
        </w:rPr>
      </w:r>
    </w:p>
    <w:p w:rsidR="00000000" w:rsidDel="00000000" w:rsidP="00000000" w:rsidRDefault="00000000" w:rsidRPr="00000000" w14:paraId="00000057">
      <w:pPr>
        <w:widowControl w:val="0"/>
        <w:spacing w:after="0"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8">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center"/>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XIII – VIABILIDADE DA CONTRATAÇÃO</w:t>
      </w:r>
    </w:p>
    <w:p w:rsidR="00000000" w:rsidDel="00000000" w:rsidP="00000000" w:rsidRDefault="00000000" w:rsidRPr="00000000" w14:paraId="00000059">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(preenchimento obrigatório, conforme § 2° do art. 18 da Lei nº 14.133/2021)</w:t>
      </w:r>
    </w:p>
    <w:p w:rsidR="00000000" w:rsidDel="00000000" w:rsidP="00000000" w:rsidRDefault="00000000" w:rsidRPr="00000000" w14:paraId="0000005A">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both"/>
        <w:rPr>
          <w:rFonts w:ascii="Arial" w:cs="Arial" w:eastAsia="Arial" w:hAnsi="Arial"/>
          <w:sz w:val="23"/>
          <w:szCs w:val="23"/>
        </w:rPr>
      </w:pPr>
      <w:r w:rsidDel="00000000" w:rsidR="00000000" w:rsidRPr="00000000">
        <w:rPr>
          <w:rtl w:val="0"/>
        </w:rPr>
      </w:r>
    </w:p>
    <w:p w:rsidR="00000000" w:rsidDel="00000000" w:rsidP="00000000" w:rsidRDefault="00000000" w:rsidRPr="00000000" w14:paraId="0000005B">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Posicionamento conclusivo sobre a adequação da contratação para o atendimento da necessidade a que se destina.</w:t>
      </w:r>
    </w:p>
    <w:p w:rsidR="00000000" w:rsidDel="00000000" w:rsidP="00000000" w:rsidRDefault="00000000" w:rsidRPr="00000000" w14:paraId="0000005C">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both"/>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Nota explicativa: parecer final sobre a contratação da solução pretendida, indicando a viabilidade técnica, operacional e orçamentária, assim como a adequação à necessidade identificada na demanda de contratação.</w:t>
      </w:r>
    </w:p>
    <w:p w:rsidR="00000000" w:rsidDel="00000000" w:rsidP="00000000" w:rsidRDefault="00000000" w:rsidRPr="00000000" w14:paraId="0000005D">
      <w:pPr>
        <w:spacing w:after="0" w:line="240" w:lineRule="auto"/>
        <w:ind w:left="-425.19685039370086" w:right="-286.062992125984" w:firstLine="0"/>
        <w:jc w:val="center"/>
        <w:rPr>
          <w:rFonts w:ascii="Arial" w:cs="Arial" w:eastAsia="Arial" w:hAnsi="Arial"/>
          <w:b w:val="1"/>
          <w:smallCaps w:val="1"/>
          <w:highlight w:val="white"/>
        </w:rPr>
      </w:pPr>
      <w:r w:rsidDel="00000000" w:rsidR="00000000" w:rsidRPr="00000000">
        <w:rPr>
          <w:rtl w:val="0"/>
        </w:rPr>
      </w:r>
    </w:p>
    <w:p w:rsidR="00000000" w:rsidDel="00000000" w:rsidP="00000000" w:rsidRDefault="00000000" w:rsidRPr="00000000" w14:paraId="0000005E">
      <w:pPr>
        <w:widowControl w:val="0"/>
        <w:pBdr>
          <w:top w:color="000000" w:space="1" w:sz="4" w:val="single"/>
          <w:left w:color="000000" w:space="4" w:sz="4" w:val="single"/>
          <w:bottom w:color="000000" w:space="1" w:sz="4" w:val="single"/>
          <w:right w:color="000000" w:space="4" w:sz="4" w:val="single"/>
        </w:pBdr>
        <w:tabs>
          <w:tab w:val="left" w:leader="none" w:pos="851"/>
        </w:tabs>
        <w:spacing w:after="0" w:line="360" w:lineRule="auto"/>
        <w:jc w:val="both"/>
        <w:rPr>
          <w:rFonts w:ascii="Arial" w:cs="Arial" w:eastAsia="Arial" w:hAnsi="Arial"/>
          <w:sz w:val="23"/>
          <w:szCs w:val="23"/>
        </w:rPr>
      </w:pPr>
      <w:r w:rsidDel="00000000" w:rsidR="00000000" w:rsidRPr="00000000">
        <w:rPr>
          <w:rFonts w:ascii="Arial" w:cs="Arial" w:eastAsia="Arial" w:hAnsi="Arial"/>
          <w:sz w:val="23"/>
          <w:szCs w:val="23"/>
          <w:rtl w:val="0"/>
        </w:rPr>
        <w:t xml:space="preserve">Obs: Se atentar às situações que o ETC é facultado ou dispensado, conforme </w:t>
      </w:r>
      <w:r w:rsidDel="00000000" w:rsidR="00000000" w:rsidRPr="00000000">
        <w:rPr>
          <w:rFonts w:ascii="Arial" w:cs="Arial" w:eastAsia="Arial" w:hAnsi="Arial"/>
          <w:b w:val="1"/>
          <w:sz w:val="23"/>
          <w:szCs w:val="23"/>
          <w:rtl w:val="0"/>
        </w:rPr>
        <w:t xml:space="preserve">IN SCM 002/2024, Art. 12.</w:t>
      </w:r>
      <w:r w:rsidDel="00000000" w:rsidR="00000000" w:rsidRPr="00000000">
        <w:rPr>
          <w:rtl w:val="0"/>
        </w:rPr>
      </w:r>
    </w:p>
    <w:p w:rsidR="00000000" w:rsidDel="00000000" w:rsidP="00000000" w:rsidRDefault="00000000" w:rsidRPr="00000000" w14:paraId="0000005F">
      <w:pPr>
        <w:spacing w:after="0" w:line="240" w:lineRule="auto"/>
        <w:ind w:left="-425.19685039370086" w:right="-286.062992125984" w:firstLine="0"/>
        <w:jc w:val="center"/>
        <w:rPr>
          <w:rFonts w:ascii="Arial" w:cs="Arial" w:eastAsia="Arial" w:hAnsi="Arial"/>
          <w:b w:val="1"/>
          <w:smallCaps w:val="1"/>
          <w:highlight w:val="white"/>
        </w:rPr>
      </w:pPr>
      <w:r w:rsidDel="00000000" w:rsidR="00000000" w:rsidRPr="00000000">
        <w:rPr>
          <w:rtl w:val="0"/>
        </w:rPr>
      </w:r>
    </w:p>
    <w:p w:rsidR="00000000" w:rsidDel="00000000" w:rsidP="00000000" w:rsidRDefault="00000000" w:rsidRPr="00000000" w14:paraId="00000060">
      <w:pPr>
        <w:spacing w:after="0" w:line="240" w:lineRule="auto"/>
        <w:ind w:left="-425.19685039370086" w:right="-286.062992125984" w:firstLine="0"/>
        <w:jc w:val="center"/>
        <w:rPr>
          <w:rFonts w:ascii="Arial" w:cs="Arial" w:eastAsia="Arial" w:hAnsi="Arial"/>
          <w:b w:val="1"/>
          <w:smallCaps w:val="1"/>
          <w:highlight w:val="white"/>
        </w:rPr>
      </w:pPr>
      <w:r w:rsidDel="00000000" w:rsidR="00000000" w:rsidRPr="00000000">
        <w:rPr>
          <w:rtl w:val="0"/>
        </w:rPr>
      </w:r>
    </w:p>
    <w:p w:rsidR="00000000" w:rsidDel="00000000" w:rsidP="00000000" w:rsidRDefault="00000000" w:rsidRPr="00000000" w14:paraId="00000061">
      <w:pPr>
        <w:spacing w:after="0" w:line="240" w:lineRule="auto"/>
        <w:ind w:left="-425.19685039370086" w:right="-286.062992125984" w:firstLine="0"/>
        <w:jc w:val="center"/>
        <w:rPr>
          <w:rFonts w:ascii="Arial" w:cs="Arial" w:eastAsia="Arial" w:hAnsi="Arial"/>
          <w:b w:val="1"/>
          <w:smallCaps w:val="1"/>
          <w:highlight w:val="white"/>
        </w:rPr>
      </w:pPr>
      <w:r w:rsidDel="00000000" w:rsidR="00000000" w:rsidRPr="00000000">
        <w:rPr>
          <w:rtl w:val="0"/>
        </w:rPr>
      </w:r>
    </w:p>
    <w:p w:rsidR="00000000" w:rsidDel="00000000" w:rsidP="00000000" w:rsidRDefault="00000000" w:rsidRPr="00000000" w14:paraId="00000062">
      <w:pPr>
        <w:spacing w:after="0" w:line="240" w:lineRule="auto"/>
        <w:ind w:left="-425.19685039370086" w:right="-286.062992125984" w:firstLine="0"/>
        <w:jc w:val="center"/>
        <w:rPr>
          <w:rFonts w:ascii="Arial" w:cs="Arial" w:eastAsia="Arial" w:hAnsi="Arial"/>
          <w:b w:val="1"/>
          <w:smallCaps w:val="1"/>
          <w:highlight w:val="white"/>
        </w:rPr>
      </w:pPr>
      <w:r w:rsidDel="00000000" w:rsidR="00000000" w:rsidRPr="00000000">
        <w:rPr>
          <w:rtl w:val="0"/>
        </w:rPr>
      </w:r>
    </w:p>
    <w:p w:rsidR="00000000" w:rsidDel="00000000" w:rsidP="00000000" w:rsidRDefault="00000000" w:rsidRPr="00000000" w14:paraId="00000063">
      <w:pPr>
        <w:spacing w:after="0" w:line="240" w:lineRule="auto"/>
        <w:ind w:left="-425.19685039370086" w:right="-286.062992125984" w:firstLine="0"/>
        <w:jc w:val="left"/>
        <w:rPr>
          <w:rFonts w:ascii="Arial" w:cs="Arial" w:eastAsia="Arial" w:hAnsi="Arial"/>
          <w:b w:val="1"/>
          <w:smallCaps w:val="1"/>
          <w:highlight w:val="white"/>
        </w:rPr>
      </w:pPr>
      <w:r w:rsidDel="00000000" w:rsidR="00000000" w:rsidRPr="00000000">
        <w:rPr>
          <w:rtl w:val="0"/>
        </w:rPr>
      </w:r>
    </w:p>
    <w:p w:rsidR="00000000" w:rsidDel="00000000" w:rsidP="00000000" w:rsidRDefault="00000000" w:rsidRPr="00000000" w14:paraId="00000064">
      <w:pPr>
        <w:spacing w:after="0" w:line="276" w:lineRule="auto"/>
        <w:ind w:left="-425.19685039370086" w:right="-286.062992125984" w:firstLine="0"/>
        <w:jc w:val="both"/>
        <w:rPr>
          <w:rFonts w:ascii="Arial" w:cs="Arial" w:eastAsia="Arial" w:hAnsi="Arial"/>
          <w:b w:val="1"/>
          <w:smallCaps w:val="1"/>
          <w:highlight w:val="white"/>
        </w:rPr>
      </w:pPr>
      <w:r w:rsidDel="00000000" w:rsidR="00000000" w:rsidRPr="00000000">
        <w:rPr>
          <w:rFonts w:ascii="Arial" w:cs="Arial" w:eastAsia="Arial" w:hAnsi="Arial"/>
          <w:b w:val="1"/>
          <w:smallCaps w:val="1"/>
          <w:highlight w:val="white"/>
          <w:rtl w:val="0"/>
        </w:rPr>
        <w:t xml:space="preserve">*REFERENCIAMENTO DOS ARTIGOS CITADOS: </w:t>
      </w:r>
    </w:p>
    <w:p w:rsidR="00000000" w:rsidDel="00000000" w:rsidP="00000000" w:rsidRDefault="00000000" w:rsidRPr="00000000" w14:paraId="00000065">
      <w:pPr>
        <w:spacing w:after="0" w:line="276" w:lineRule="auto"/>
        <w:ind w:left="-425.19685039370086" w:right="-286.062992125984" w:firstLine="0"/>
        <w:jc w:val="both"/>
        <w:rPr>
          <w:rFonts w:ascii="Arial" w:cs="Arial" w:eastAsia="Arial" w:hAnsi="Arial"/>
          <w:b w:val="1"/>
          <w:smallCaps w:val="1"/>
          <w:highlight w:val="white"/>
        </w:rPr>
      </w:pPr>
      <w:r w:rsidDel="00000000" w:rsidR="00000000" w:rsidRPr="00000000">
        <w:rPr>
          <w:rtl w:val="0"/>
        </w:rPr>
      </w:r>
    </w:p>
    <w:p w:rsidR="00000000" w:rsidDel="00000000" w:rsidP="00000000" w:rsidRDefault="00000000" w:rsidRPr="00000000" w14:paraId="00000066">
      <w:pPr>
        <w:spacing w:after="0" w:line="276" w:lineRule="auto"/>
        <w:ind w:left="-425.19685039370086" w:right="-286.062992125984" w:firstLine="0"/>
        <w:jc w:val="both"/>
        <w:rPr>
          <w:rFonts w:ascii="Arial" w:cs="Arial" w:eastAsia="Arial" w:hAnsi="Arial"/>
          <w:sz w:val="20"/>
          <w:szCs w:val="20"/>
        </w:rPr>
      </w:pPr>
      <w:r w:rsidDel="00000000" w:rsidR="00000000" w:rsidRPr="00000000">
        <w:rPr>
          <w:rFonts w:ascii="Arial" w:cs="Arial" w:eastAsia="Arial" w:hAnsi="Arial"/>
          <w:b w:val="1"/>
          <w:smallCaps w:val="1"/>
          <w:sz w:val="20"/>
          <w:szCs w:val="20"/>
          <w:highlight w:val="white"/>
          <w:rtl w:val="0"/>
        </w:rPr>
        <w:t xml:space="preserve">IN SCM 002/2024, ART. 3º, V </w:t>
      </w:r>
      <w:r w:rsidDel="00000000" w:rsidR="00000000" w:rsidRPr="00000000">
        <w:rPr>
          <w:rFonts w:ascii="Arial" w:cs="Arial" w:eastAsia="Arial" w:hAnsi="Arial"/>
          <w:smallCaps w:val="1"/>
          <w:sz w:val="20"/>
          <w:szCs w:val="20"/>
          <w:highlight w:val="white"/>
          <w:rtl w:val="0"/>
        </w:rPr>
        <w:t xml:space="preserve">-</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Art. 3º Para fins do disposto nesta Instrução Normativa, considera-se:</w:t>
      </w:r>
    </w:p>
    <w:p w:rsidR="00000000" w:rsidDel="00000000" w:rsidP="00000000" w:rsidRDefault="00000000" w:rsidRPr="00000000" w14:paraId="00000067">
      <w:pPr>
        <w:spacing w:after="0" w:line="276" w:lineRule="auto"/>
        <w:ind w:left="-425.19685039370086" w:right="-286.0629921259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V</w:t>
      </w:r>
      <w:r w:rsidDel="00000000" w:rsidR="00000000" w:rsidRPr="00000000">
        <w:rPr>
          <w:rFonts w:ascii="Arial" w:cs="Arial" w:eastAsia="Arial" w:hAnsi="Arial"/>
          <w:sz w:val="20"/>
          <w:szCs w:val="20"/>
          <w:rtl w:val="0"/>
        </w:rPr>
        <w:t xml:space="preserve"> - requisitante: agente ou unidade responsável por identificar a necessidade de contratação de bens, serviços e obras e requerê-la;</w:t>
      </w:r>
    </w:p>
    <w:p w:rsidR="00000000" w:rsidDel="00000000" w:rsidP="00000000" w:rsidRDefault="00000000" w:rsidRPr="00000000" w14:paraId="00000068">
      <w:pPr>
        <w:spacing w:after="0" w:line="276" w:lineRule="auto"/>
        <w:ind w:left="-425.19685039370086" w:right="-286.062992125984"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9">
      <w:pPr>
        <w:spacing w:after="0" w:line="276" w:lineRule="auto"/>
        <w:ind w:left="-425.19685039370086" w:right="-286.062992125984"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2° do art. 18 da Lei nº 14.133/2021 </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O estudo técnico preliminar deverá conter ao menos os elementos previstos nos incisos I, IV, VI, VIII e XIII do § 1º deste artigo e, quando não contemplar os demais elementos previstos no referido parágrafo, apresentar as devidas justificativas.</w:t>
      </w:r>
    </w:p>
    <w:p w:rsidR="00000000" w:rsidDel="00000000" w:rsidP="00000000" w:rsidRDefault="00000000" w:rsidRPr="00000000" w14:paraId="0000006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1º O estudo técnico preliminar a que se refere o inciso I do caput deste artigo deverá evidenciar o problema a ser resolvido e a sua melhor solução, de modo a permitir a avaliação da viabilidade técnica e econômica da contratação, e conterá os seguintes elementos:</w:t>
      </w:r>
    </w:p>
    <w:p w:rsidR="00000000" w:rsidDel="00000000" w:rsidP="00000000" w:rsidRDefault="00000000" w:rsidRPr="00000000" w14:paraId="0000006B">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descrição da necessidade da contratação, considerado o problema a ser resolvido sob a perspectiva do interesse público;</w:t>
      </w:r>
    </w:p>
    <w:p w:rsidR="00000000" w:rsidDel="00000000" w:rsidP="00000000" w:rsidRDefault="00000000" w:rsidRPr="00000000" w14:paraId="0000006C">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estimativas das quantidades para a contratação, acompanhadas das memórias de cálculo e dos documentos que lhes dão suporte, que considerem interdependências com outras contratações, de modo a possibilitar economia de escala;</w:t>
      </w:r>
    </w:p>
    <w:p w:rsidR="00000000" w:rsidDel="00000000" w:rsidP="00000000" w:rsidRDefault="00000000" w:rsidRPr="00000000" w14:paraId="0000006D">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 -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000000" w:rsidDel="00000000" w:rsidP="00000000" w:rsidRDefault="00000000" w:rsidRPr="00000000" w14:paraId="0000006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VIII - justificativas para o parcelamento ou não da contratação;</w:t>
      </w:r>
    </w:p>
    <w:p w:rsidR="00000000" w:rsidDel="00000000" w:rsidP="00000000" w:rsidRDefault="00000000" w:rsidRPr="00000000" w14:paraId="0000006F">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XIII - posicionamento conclusivo sobre a adequação da contratação para o atendimento da necessidade a que se destina.</w:t>
      </w:r>
    </w:p>
    <w:p w:rsidR="00000000" w:rsidDel="00000000" w:rsidP="00000000" w:rsidRDefault="00000000" w:rsidRPr="00000000" w14:paraId="00000070">
      <w:pPr>
        <w:spacing w:after="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spacing w:after="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SCM 002/2024, Art. 5º </w:t>
      </w:r>
      <w:r w:rsidDel="00000000" w:rsidR="00000000" w:rsidRPr="00000000">
        <w:rPr>
          <w:rFonts w:ascii="Arial" w:cs="Arial" w:eastAsia="Arial" w:hAnsi="Arial"/>
          <w:sz w:val="20"/>
          <w:szCs w:val="20"/>
          <w:rtl w:val="0"/>
        </w:rPr>
        <w:t xml:space="preserve">- Art. 5º O ETP deverá estar alinhado com o Plano de Contratações Anual, além de outros instrumentos de planejamento da Administração. </w:t>
      </w:r>
    </w:p>
    <w:p w:rsidR="00000000" w:rsidDel="00000000" w:rsidP="00000000" w:rsidRDefault="00000000" w:rsidRPr="00000000" w14:paraId="00000072">
      <w:pPr>
        <w:spacing w:after="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 2º do art. 23 da Lei n.º 14.133/2021 </w:t>
      </w:r>
      <w:r w:rsidDel="00000000" w:rsidR="00000000" w:rsidRPr="00000000">
        <w:rPr>
          <w:rFonts w:ascii="Arial" w:cs="Arial" w:eastAsia="Arial" w:hAnsi="Arial"/>
          <w:sz w:val="20"/>
          <w:szCs w:val="20"/>
          <w:rtl w:val="0"/>
        </w:rPr>
        <w:t xml:space="preserve">- § 2º No processo licitatório para contratação de obras e serviços de engenharia, conforme regulamento, o valor estimado, acrescido do percentual de Benefícios e Despesas Indiretas (BDI) de referência e dos Encargos Sociais (ES) cabíveis, será definido por meio da utilização de parâmetros na seguinte ordem:</w:t>
      </w:r>
    </w:p>
    <w:p w:rsidR="00000000" w:rsidDel="00000000" w:rsidP="00000000" w:rsidRDefault="00000000" w:rsidRPr="00000000" w14:paraId="00000073">
      <w:pPr>
        <w:spacing w:after="0" w:before="220" w:line="276" w:lineRule="auto"/>
        <w:ind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composição de custos unitários menores ou iguais à mediana do item correspondente do Sistema de Custos Referenciais de Obras (Sicro), para serviços e obras de infraestrutura de transportes, ou do Sistema Nacional de Pesquisa de Custos e Índices de Construção Civil (Sinapi), para as demais obras e serviços de engenharia;</w:t>
      </w:r>
    </w:p>
    <w:p w:rsidR="00000000" w:rsidDel="00000000" w:rsidP="00000000" w:rsidRDefault="00000000" w:rsidRPr="00000000" w14:paraId="00000074">
      <w:pPr>
        <w:spacing w:after="0" w:before="220" w:line="276" w:lineRule="auto"/>
        <w:ind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utilização de dados de pesquisa publicada em mídia especializada, de tabela de referência formalmente aprovada pelo Poder Executivo federal e de sítios eletrônicos especializados ou de domínio amplo, desde que contenham a data e a hora de acesso;</w:t>
      </w:r>
    </w:p>
    <w:p w:rsidR="00000000" w:rsidDel="00000000" w:rsidP="00000000" w:rsidRDefault="00000000" w:rsidRPr="00000000" w14:paraId="00000075">
      <w:pPr>
        <w:spacing w:after="0" w:before="220" w:line="276" w:lineRule="auto"/>
        <w:ind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contratações similares feitas pela Administração Pública, em execução ou concluídas no período de 1 (um) ano anterior à data da pesquisa de preços, observado o índice de atualização de preços correspondente;</w:t>
      </w:r>
    </w:p>
    <w:p w:rsidR="00000000" w:rsidDel="00000000" w:rsidP="00000000" w:rsidRDefault="00000000" w:rsidRPr="00000000" w14:paraId="00000076">
      <w:pPr>
        <w:spacing w:after="0" w:before="220" w:line="276" w:lineRule="auto"/>
        <w:ind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IV - pesquisa na base nacional de notas fiscais eletrônicas, na forma de regulamento.</w:t>
      </w:r>
    </w:p>
    <w:p w:rsidR="00000000" w:rsidDel="00000000" w:rsidP="00000000" w:rsidRDefault="00000000" w:rsidRPr="00000000" w14:paraId="00000077">
      <w:pPr>
        <w:spacing w:after="0" w:before="220" w:line="276" w:lineRule="auto"/>
        <w:ind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8">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SCM 002/2024, Art. 7º, VII </w:t>
      </w:r>
      <w:r w:rsidDel="00000000" w:rsidR="00000000" w:rsidRPr="00000000">
        <w:rPr>
          <w:rFonts w:ascii="Arial" w:cs="Arial" w:eastAsia="Arial" w:hAnsi="Arial"/>
          <w:sz w:val="20"/>
          <w:szCs w:val="20"/>
          <w:rtl w:val="0"/>
        </w:rPr>
        <w:t xml:space="preserve">- Art. 7º Com base no Plano de Contratações Anual, deverão ser registrados no ETP os seguintes elementos: </w:t>
        <w:br w:type="textWrapping"/>
        <w:t xml:space="preserve">(...)</w:t>
        <w:br w:type="textWrapping"/>
        <w:t xml:space="preserve">VII - justificativas para o parcelamento ou não da solução;</w:t>
      </w:r>
    </w:p>
    <w:p w:rsidR="00000000" w:rsidDel="00000000" w:rsidP="00000000" w:rsidRDefault="00000000" w:rsidRPr="00000000" w14:paraId="00000079">
      <w:pPr>
        <w:spacing w:after="0" w:before="220" w:line="276" w:lineRule="auto"/>
        <w:ind w:left="-425.19685039370086"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 SCM 002/2024, Art. 12. </w:t>
      </w:r>
      <w:r w:rsidDel="00000000" w:rsidR="00000000" w:rsidRPr="00000000">
        <w:rPr>
          <w:rFonts w:ascii="Arial" w:cs="Arial" w:eastAsia="Arial" w:hAnsi="Arial"/>
          <w:sz w:val="20"/>
          <w:szCs w:val="20"/>
          <w:rtl w:val="0"/>
        </w:rPr>
        <w:t xml:space="preserve">- Art. 12. A elaboração do ETP: </w:t>
      </w:r>
    </w:p>
    <w:p w:rsidR="00000000" w:rsidDel="00000000" w:rsidP="00000000" w:rsidRDefault="00000000" w:rsidRPr="00000000" w14:paraId="0000007B">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 é facultada, nas seguintes hipóteses:</w:t>
      </w:r>
    </w:p>
    <w:p w:rsidR="00000000" w:rsidDel="00000000" w:rsidP="00000000" w:rsidRDefault="00000000" w:rsidRPr="00000000" w14:paraId="0000007C">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para contratação que envolva valores inferiores ao definido no art. 75, I, da Lei nº 14.133/21, no caso de obras e serviços de engenharia ou de serviços de manutenção de veículos automotores; </w:t>
      </w:r>
    </w:p>
    <w:p w:rsidR="00000000" w:rsidDel="00000000" w:rsidP="00000000" w:rsidRDefault="00000000" w:rsidRPr="00000000" w14:paraId="0000007D">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para contratação que envolva valores inferiores ao definido no art. 75, II, da Lei nº 14.133/21, no caso de outros serviços e compras; </w:t>
      </w:r>
    </w:p>
    <w:p w:rsidR="00000000" w:rsidDel="00000000" w:rsidP="00000000" w:rsidRDefault="00000000" w:rsidRPr="00000000" w14:paraId="0000007E">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para dispensa de licitação nos casos de guerra, estado de defesa, estado de sítio, intervenção federal ou de grave perturbação da ordem; </w:t>
      </w:r>
    </w:p>
    <w:p w:rsidR="00000000" w:rsidDel="00000000" w:rsidP="00000000" w:rsidRDefault="00000000" w:rsidRPr="00000000" w14:paraId="0000007F">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para dispensa de licitação nos casos de emergência ou de calamidade pública, quando caracterizada urgência de atendimento de situação que possa ocasionar prejuízo ou comprometer a continuidade dos serviços públicos ou a segurança de pessoas, obras, serviços, equipamentos e outros bens, públicos ou particulares, e somente para aquisição dos bens necessários ao atendimento da situação emergencial ou calamitosa e para as parcelas de obras e serviços que possam ser concluídas no prazo máximo de 1 (um) ano, contado da data de ocorrência da emergência ou da calamidade, vedadas a prorrogação dos respectivos contratos e a recontratação de empresa já contratada com base no disposto neste inciso.</w:t>
      </w:r>
    </w:p>
    <w:p w:rsidR="00000000" w:rsidDel="00000000" w:rsidP="00000000" w:rsidRDefault="00000000" w:rsidRPr="00000000" w14:paraId="00000080">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e) quando a Administração Municipal resolver convocar os demais licitantes classificados para a contratação de remanescente de obra, de serviço ou de fornecimento em consequência de rescisão contratual, observados os mesmos critérios estabelecidos no art. 90, §§ 2º e 4º, da Lei nº 14.133/21. </w:t>
      </w:r>
    </w:p>
    <w:p w:rsidR="00000000" w:rsidDel="00000000" w:rsidP="00000000" w:rsidRDefault="00000000" w:rsidRPr="00000000" w14:paraId="00000081">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 - é dispensada, nas seguintes hipóteses: </w:t>
      </w:r>
    </w:p>
    <w:p w:rsidR="00000000" w:rsidDel="00000000" w:rsidP="00000000" w:rsidRDefault="00000000" w:rsidRPr="00000000" w14:paraId="00000082">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para dispensa de licitação que mantenha todas as condições definidas em edital de licitação realizada há menos de 1 (um) ano, quando se verificar que naquela licitação: </w:t>
      </w:r>
    </w:p>
    <w:p w:rsidR="00000000" w:rsidDel="00000000" w:rsidP="00000000" w:rsidRDefault="00000000" w:rsidRPr="00000000" w14:paraId="00000083">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não surgiram licitantes interessados ou não foram apresentadas propostas válidas;</w:t>
      </w:r>
    </w:p>
    <w:p w:rsidR="00000000" w:rsidDel="00000000" w:rsidP="00000000" w:rsidRDefault="00000000" w:rsidRPr="00000000" w14:paraId="00000084">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 2. as propostas apresentadas consignarem preços manifestamente superiores aos praticados no mercado ou incompatíveis com os fixados pelos órgãos oficiais competentes.</w:t>
      </w:r>
    </w:p>
    <w:p w:rsidR="00000000" w:rsidDel="00000000" w:rsidP="00000000" w:rsidRDefault="00000000" w:rsidRPr="00000000" w14:paraId="00000085">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nos casos de prorrogações dos contratos de serviços e fornecimentos contínuos. c) para contratações de obras comuns e serviços comuns de engenharia com projetos desenvolvidos e especificações do objeto bem definidas em termo de referência ou em projeto básico, conforme disposto no art. 18, § 3º, da Lei nº 14.133/21.</w:t>
      </w:r>
    </w:p>
    <w:p w:rsidR="00000000" w:rsidDel="00000000" w:rsidP="00000000" w:rsidRDefault="00000000" w:rsidRPr="00000000" w14:paraId="00000086">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para aquisição de bens comuns de fornecimento contínuo, para fins de aplicação do disposto nos arts. 106, 109, parágrafo único do art. 98, parágrafo único do art. 97, inciso I do art. 40 e § 8º do art. 25 da Lei nº 14.133/21, imprescindíveis à manutenção dos Órgãos da Prefeitura de Balneário Camboriú decorrentes de necessidades permanentes ou prolongadas e caracterizados por sua fungibilidade, que podem ser substituídos por outros com qualidades similares ou equivalentes, contrapondo-se à ideia de bem especial ou insólito, exclusivamente, como: </w:t>
      </w:r>
    </w:p>
    <w:p w:rsidR="00000000" w:rsidDel="00000000" w:rsidP="00000000" w:rsidRDefault="00000000" w:rsidRPr="00000000" w14:paraId="00000087">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passagens aéreas e rodoviárias; </w:t>
      </w:r>
    </w:p>
    <w:p w:rsidR="00000000" w:rsidDel="00000000" w:rsidP="00000000" w:rsidRDefault="00000000" w:rsidRPr="00000000" w14:paraId="00000088">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gêneros alimentícios;</w:t>
      </w:r>
    </w:p>
    <w:p w:rsidR="00000000" w:rsidDel="00000000" w:rsidP="00000000" w:rsidRDefault="00000000" w:rsidRPr="00000000" w14:paraId="00000089">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chaves; </w:t>
      </w:r>
    </w:p>
    <w:p w:rsidR="00000000" w:rsidDel="00000000" w:rsidP="00000000" w:rsidRDefault="00000000" w:rsidRPr="00000000" w14:paraId="0000008A">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mesas e cadeiras;</w:t>
      </w:r>
    </w:p>
    <w:p w:rsidR="00000000" w:rsidDel="00000000" w:rsidP="00000000" w:rsidRDefault="00000000" w:rsidRPr="00000000" w14:paraId="0000008B">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carimbos; </w:t>
      </w:r>
    </w:p>
    <w:p w:rsidR="00000000" w:rsidDel="00000000" w:rsidP="00000000" w:rsidRDefault="00000000" w:rsidRPr="00000000" w14:paraId="0000008C">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fraldas;</w:t>
      </w:r>
    </w:p>
    <w:p w:rsidR="00000000" w:rsidDel="00000000" w:rsidP="00000000" w:rsidRDefault="00000000" w:rsidRPr="00000000" w14:paraId="0000008D">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uniformes; </w:t>
      </w:r>
    </w:p>
    <w:p w:rsidR="00000000" w:rsidDel="00000000" w:rsidP="00000000" w:rsidRDefault="00000000" w:rsidRPr="00000000" w14:paraId="0000008E">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materiais escolares; </w:t>
      </w:r>
    </w:p>
    <w:p w:rsidR="00000000" w:rsidDel="00000000" w:rsidP="00000000" w:rsidRDefault="00000000" w:rsidRPr="00000000" w14:paraId="0000008F">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materiais gráficos; </w:t>
      </w:r>
    </w:p>
    <w:p w:rsidR="00000000" w:rsidDel="00000000" w:rsidP="00000000" w:rsidRDefault="00000000" w:rsidRPr="00000000" w14:paraId="00000090">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10. materiais ambulatoriais; </w:t>
      </w:r>
    </w:p>
    <w:p w:rsidR="00000000" w:rsidDel="00000000" w:rsidP="00000000" w:rsidRDefault="00000000" w:rsidRPr="00000000" w14:paraId="00000091">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materiais laboratoriais; </w:t>
      </w:r>
    </w:p>
    <w:p w:rsidR="00000000" w:rsidDel="00000000" w:rsidP="00000000" w:rsidRDefault="00000000" w:rsidRPr="00000000" w14:paraId="00000092">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materiais cirúrgicos; </w:t>
      </w:r>
    </w:p>
    <w:p w:rsidR="00000000" w:rsidDel="00000000" w:rsidP="00000000" w:rsidRDefault="00000000" w:rsidRPr="00000000" w14:paraId="00000093">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materiais de fisioterapia; </w:t>
      </w:r>
    </w:p>
    <w:p w:rsidR="00000000" w:rsidDel="00000000" w:rsidP="00000000" w:rsidRDefault="00000000" w:rsidRPr="00000000" w14:paraId="00000094">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materiais de expediente; </w:t>
      </w:r>
    </w:p>
    <w:p w:rsidR="00000000" w:rsidDel="00000000" w:rsidP="00000000" w:rsidRDefault="00000000" w:rsidRPr="00000000" w14:paraId="00000095">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materiais de construção; </w:t>
      </w:r>
    </w:p>
    <w:p w:rsidR="00000000" w:rsidDel="00000000" w:rsidP="00000000" w:rsidRDefault="00000000" w:rsidRPr="00000000" w14:paraId="00000096">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16. materiais de sinalização; </w:t>
      </w:r>
    </w:p>
    <w:p w:rsidR="00000000" w:rsidDel="00000000" w:rsidP="00000000" w:rsidRDefault="00000000" w:rsidRPr="00000000" w14:paraId="00000097">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17. materiais de proteção individual; </w:t>
      </w:r>
    </w:p>
    <w:p w:rsidR="00000000" w:rsidDel="00000000" w:rsidP="00000000" w:rsidRDefault="00000000" w:rsidRPr="00000000" w14:paraId="00000098">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18. materiais de produtos de limpeza; </w:t>
      </w:r>
    </w:p>
    <w:p w:rsidR="00000000" w:rsidDel="00000000" w:rsidP="00000000" w:rsidRDefault="00000000" w:rsidRPr="00000000" w14:paraId="00000099">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19. materiais descartáveis; </w:t>
      </w:r>
    </w:p>
    <w:p w:rsidR="00000000" w:rsidDel="00000000" w:rsidP="00000000" w:rsidRDefault="00000000" w:rsidRPr="00000000" w14:paraId="0000009A">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20. medicamentos; </w:t>
      </w:r>
    </w:p>
    <w:p w:rsidR="00000000" w:rsidDel="00000000" w:rsidP="00000000" w:rsidRDefault="00000000" w:rsidRPr="00000000" w14:paraId="0000009B">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21. fórmulas infantis; </w:t>
      </w:r>
    </w:p>
    <w:p w:rsidR="00000000" w:rsidDel="00000000" w:rsidP="00000000" w:rsidRDefault="00000000" w:rsidRPr="00000000" w14:paraId="0000009C">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22. dietas enterais e soluções nutritivas parenterais; </w:t>
      </w:r>
    </w:p>
    <w:p w:rsidR="00000000" w:rsidDel="00000000" w:rsidP="00000000" w:rsidRDefault="00000000" w:rsidRPr="00000000" w14:paraId="0000009D">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23. gases medicinais; </w:t>
      </w:r>
    </w:p>
    <w:p w:rsidR="00000000" w:rsidDel="00000000" w:rsidP="00000000" w:rsidRDefault="00000000" w:rsidRPr="00000000" w14:paraId="0000009E">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24. tiras e lancetas; </w:t>
      </w:r>
    </w:p>
    <w:p w:rsidR="00000000" w:rsidDel="00000000" w:rsidP="00000000" w:rsidRDefault="00000000" w:rsidRPr="00000000" w14:paraId="0000009F">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25. OPME; </w:t>
      </w:r>
    </w:p>
    <w:p w:rsidR="00000000" w:rsidDel="00000000" w:rsidP="00000000" w:rsidRDefault="00000000" w:rsidRPr="00000000" w14:paraId="000000A0">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26. películas radiológicas; </w:t>
      </w:r>
    </w:p>
    <w:p w:rsidR="00000000" w:rsidDel="00000000" w:rsidP="00000000" w:rsidRDefault="00000000" w:rsidRPr="00000000" w14:paraId="000000A1">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27. redes de proteção; </w:t>
      </w:r>
    </w:p>
    <w:p w:rsidR="00000000" w:rsidDel="00000000" w:rsidP="00000000" w:rsidRDefault="00000000" w:rsidRPr="00000000" w14:paraId="000000A2">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28. tintas; </w:t>
      </w:r>
    </w:p>
    <w:p w:rsidR="00000000" w:rsidDel="00000000" w:rsidP="00000000" w:rsidRDefault="00000000" w:rsidRPr="00000000" w14:paraId="000000A3">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29. munições de arma de fogo; </w:t>
      </w:r>
    </w:p>
    <w:p w:rsidR="00000000" w:rsidDel="00000000" w:rsidP="00000000" w:rsidRDefault="00000000" w:rsidRPr="00000000" w14:paraId="000000A4">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30. combustível; e </w:t>
      </w:r>
    </w:p>
    <w:p w:rsidR="00000000" w:rsidDel="00000000" w:rsidP="00000000" w:rsidRDefault="00000000" w:rsidRPr="00000000" w14:paraId="000000A5">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31. extintores. </w:t>
      </w:r>
    </w:p>
    <w:p w:rsidR="00000000" w:rsidDel="00000000" w:rsidP="00000000" w:rsidRDefault="00000000" w:rsidRPr="00000000" w14:paraId="000000A6">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para contratação de serviços comuns de fornecimento contínuo, para fins de aplicação do disposto nos arts. 106, 109, parágrafo único do art. 98, parágrafo único do art. 97, inciso I do art. 40 e § 8º do art. 25 da Lei n. 14.133/2021, imprescindíveis à manutenção dos Órgãos da Prefeitura de Balneário Camboriú decorrentes de necessidades permanentes ou prolongadas e caracterizados por padrões de desempenho e qualidade objetivamente definidos pelo edital cuja definição possa efetuar-se por meio de especificações usuais de mercado, exclusivamente, como: </w:t>
      </w:r>
    </w:p>
    <w:p w:rsidR="00000000" w:rsidDel="00000000" w:rsidP="00000000" w:rsidRDefault="00000000" w:rsidRPr="00000000" w14:paraId="000000A7">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conservação reparação ou manutenção de prédios públicos; </w:t>
      </w:r>
    </w:p>
    <w:p w:rsidR="00000000" w:rsidDel="00000000" w:rsidP="00000000" w:rsidRDefault="00000000" w:rsidRPr="00000000" w14:paraId="000000A8">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2. manutenção de veículos; </w:t>
      </w:r>
    </w:p>
    <w:p w:rsidR="00000000" w:rsidDel="00000000" w:rsidP="00000000" w:rsidRDefault="00000000" w:rsidRPr="00000000" w14:paraId="000000A9">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3. manutenção semafórica; </w:t>
      </w:r>
    </w:p>
    <w:p w:rsidR="00000000" w:rsidDel="00000000" w:rsidP="00000000" w:rsidRDefault="00000000" w:rsidRPr="00000000" w14:paraId="000000AA">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4. manutenção de equipamentos, eletrodomésticos e eletroeletrônicos; </w:t>
      </w:r>
    </w:p>
    <w:p w:rsidR="00000000" w:rsidDel="00000000" w:rsidP="00000000" w:rsidRDefault="00000000" w:rsidRPr="00000000" w14:paraId="000000AB">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 destinação de resíduos sólidos; </w:t>
      </w:r>
    </w:p>
    <w:p w:rsidR="00000000" w:rsidDel="00000000" w:rsidP="00000000" w:rsidRDefault="00000000" w:rsidRPr="00000000" w14:paraId="000000AC">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6. lavação de automotores; </w:t>
      </w:r>
    </w:p>
    <w:p w:rsidR="00000000" w:rsidDel="00000000" w:rsidP="00000000" w:rsidRDefault="00000000" w:rsidRPr="00000000" w14:paraId="000000AD">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7. sinalização de trânsito; </w:t>
      </w:r>
    </w:p>
    <w:p w:rsidR="00000000" w:rsidDel="00000000" w:rsidP="00000000" w:rsidRDefault="00000000" w:rsidRPr="00000000" w14:paraId="000000AE">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8. desinsetização e desratização; e </w:t>
      </w:r>
    </w:p>
    <w:p w:rsidR="00000000" w:rsidDel="00000000" w:rsidP="00000000" w:rsidRDefault="00000000" w:rsidRPr="00000000" w14:paraId="000000AF">
      <w:pPr>
        <w:spacing w:after="0" w:before="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9. serviços com dedicação exclusiva de mão de obra. </w:t>
      </w:r>
    </w:p>
    <w:p w:rsidR="00000000" w:rsidDel="00000000" w:rsidP="00000000" w:rsidRDefault="00000000" w:rsidRPr="00000000" w14:paraId="000000B0">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III – é obrigatório: </w:t>
      </w:r>
    </w:p>
    <w:p w:rsidR="00000000" w:rsidDel="00000000" w:rsidP="00000000" w:rsidRDefault="00000000" w:rsidRPr="00000000" w14:paraId="000000B1">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 quando houver a possibilidade de compra ou de locação de bens, o estudo técnico preliminar deverá considerar os custos e os benefícios de cada opção, com indicação da alternativa mais vantajosa; </w:t>
      </w:r>
    </w:p>
    <w:p w:rsidR="00000000" w:rsidDel="00000000" w:rsidP="00000000" w:rsidRDefault="00000000" w:rsidRPr="00000000" w14:paraId="000000B2">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b) para contratações através de dispensa de licitação não contempladas nos incisos I e II, do art. 12 desta Instrução Normativa. </w:t>
      </w:r>
    </w:p>
    <w:p w:rsidR="00000000" w:rsidDel="00000000" w:rsidP="00000000" w:rsidRDefault="00000000" w:rsidRPr="00000000" w14:paraId="000000B3">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 para contratações através de inexigibilidade de licitação, exceto quando oriundas de credenciamento. </w:t>
      </w:r>
    </w:p>
    <w:p w:rsidR="00000000" w:rsidDel="00000000" w:rsidP="00000000" w:rsidRDefault="00000000" w:rsidRPr="00000000" w14:paraId="000000B4">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 para contratações de objetos inéditos no âmbito municipal. </w:t>
      </w:r>
    </w:p>
    <w:p w:rsidR="00000000" w:rsidDel="00000000" w:rsidP="00000000" w:rsidRDefault="00000000" w:rsidRPr="00000000" w14:paraId="000000B5">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 para contratações de sistemas eletrônicos e bens de tecnologia da informação.</w:t>
      </w:r>
    </w:p>
    <w:p w:rsidR="00000000" w:rsidDel="00000000" w:rsidP="00000000" w:rsidRDefault="00000000" w:rsidRPr="00000000" w14:paraId="000000B6">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 para contratações que resultem em alteração de soluções vigentes. </w:t>
      </w:r>
    </w:p>
    <w:p w:rsidR="00000000" w:rsidDel="00000000" w:rsidP="00000000" w:rsidRDefault="00000000" w:rsidRPr="00000000" w14:paraId="000000B7">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 para contratações que a Secretaria de Compras entenda como objeto estratégico ou de alta complexidade. </w:t>
      </w:r>
    </w:p>
    <w:p w:rsidR="00000000" w:rsidDel="00000000" w:rsidP="00000000" w:rsidRDefault="00000000" w:rsidRPr="00000000" w14:paraId="000000B8">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h) para contratações consideradas de grande vulto para o Município de Balneário Camboriú. (Vide Decreto Municipal nº 10.809, de 2022) </w:t>
      </w:r>
    </w:p>
    <w:p w:rsidR="00000000" w:rsidDel="00000000" w:rsidP="00000000" w:rsidRDefault="00000000" w:rsidRPr="00000000" w14:paraId="000000B9">
      <w:pPr>
        <w:spacing w:after="0" w:before="220" w:line="276" w:lineRule="auto"/>
        <w:ind w:left="-425.19685039370086"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 para compras públicas não contempladas no inciso II do art. 12 desta Instrução Normativa.</w:t>
      </w:r>
    </w:p>
    <w:p w:rsidR="00000000" w:rsidDel="00000000" w:rsidP="00000000" w:rsidRDefault="00000000" w:rsidRPr="00000000" w14:paraId="000000BA">
      <w:pPr>
        <w:spacing w:after="220" w:before="220" w:lineRule="auto"/>
        <w:ind w:left="-425.19685039370086" w:firstLine="0"/>
        <w:rPr>
          <w:rFonts w:ascii="Arial" w:cs="Arial" w:eastAsia="Arial" w:hAnsi="Arial"/>
        </w:rPr>
      </w:pPr>
      <w:r w:rsidDel="00000000" w:rsidR="00000000" w:rsidRPr="00000000">
        <w:rPr>
          <w:rtl w:val="0"/>
        </w:rPr>
      </w:r>
    </w:p>
    <w:p w:rsidR="00000000" w:rsidDel="00000000" w:rsidP="00000000" w:rsidRDefault="00000000" w:rsidRPr="00000000" w14:paraId="000000BB">
      <w:pPr>
        <w:spacing w:after="220" w:before="220" w:lineRule="auto"/>
        <w:ind w:left="-425.19685039370086" w:firstLine="0"/>
        <w:rPr>
          <w:rFonts w:ascii="Arial" w:cs="Arial" w:eastAsia="Arial" w:hAnsi="Arial"/>
        </w:rPr>
      </w:pPr>
      <w:r w:rsidDel="00000000" w:rsidR="00000000" w:rsidRPr="00000000">
        <w:rPr>
          <w:rtl w:val="0"/>
        </w:rPr>
      </w:r>
    </w:p>
    <w:p w:rsidR="00000000" w:rsidDel="00000000" w:rsidP="00000000" w:rsidRDefault="00000000" w:rsidRPr="00000000" w14:paraId="000000BC">
      <w:pPr>
        <w:spacing w:after="220" w:before="220" w:lineRule="auto"/>
        <w:ind w:left="-425.19685039370086" w:firstLine="0"/>
        <w:rPr>
          <w:rFonts w:ascii="Arial" w:cs="Arial" w:eastAsia="Arial" w:hAnsi="Arial"/>
        </w:rPr>
      </w:pPr>
      <w:r w:rsidDel="00000000" w:rsidR="00000000" w:rsidRPr="00000000">
        <w:rPr>
          <w:rtl w:val="0"/>
        </w:rPr>
      </w:r>
    </w:p>
    <w:p w:rsidR="00000000" w:rsidDel="00000000" w:rsidP="00000000" w:rsidRDefault="00000000" w:rsidRPr="00000000" w14:paraId="000000BD">
      <w:pPr>
        <w:spacing w:after="220" w:before="220" w:lineRule="auto"/>
        <w:ind w:left="-425.19685039370086"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BE">
      <w:pPr>
        <w:spacing w:after="220" w:before="220" w:lineRule="auto"/>
        <w:ind w:left="-425.19685039370086"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BF">
      <w:pPr>
        <w:ind w:left="-425.19685039370086" w:firstLine="0"/>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ind w:left="-425.19685039370086" w:firstLine="0"/>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spacing w:after="0" w:line="240" w:lineRule="auto"/>
        <w:ind w:left="-425.19685039370086" w:right="-286.062992125984"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9">
      <w:pPr>
        <w:spacing w:after="0" w:line="240" w:lineRule="auto"/>
        <w:ind w:left="-425.19685039370086" w:right="-286.062992125984" w:firstLine="0"/>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17" w:top="1417" w:left="1559.0551181102362" w:right="1139.669291338584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5">
    <w:pPr>
      <w:pageBreakBefore w:val="0"/>
      <w:spacing w:after="0" w:line="240" w:lineRule="auto"/>
      <w:jc w:val="center"/>
      <w:rPr>
        <w:rFonts w:ascii="Times New Roman" w:cs="Times New Roman" w:eastAsia="Times New Roman" w:hAnsi="Times New Roman"/>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6">
    <w:pPr>
      <w:pageBreakBefore w:val="0"/>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Balneário Camboriú – Capital Catarinense do Turismo – EMASA – CNPJ 07.854.402/0001-00</w:t>
    </w:r>
  </w:p>
  <w:p w:rsidR="00000000" w:rsidDel="00000000" w:rsidP="00000000" w:rsidRDefault="00000000" w:rsidRPr="00000000" w14:paraId="000000D7">
    <w:pPr>
      <w:pageBreakBefore w:val="0"/>
      <w:spacing w:after="0" w:line="240" w:lineRule="auto"/>
      <w:jc w:val="center"/>
      <w:rPr/>
    </w:pPr>
    <w:r w:rsidDel="00000000" w:rsidR="00000000" w:rsidRPr="00000000">
      <w:rPr>
        <w:rFonts w:ascii="Times New Roman" w:cs="Times New Roman" w:eastAsia="Times New Roman" w:hAnsi="Times New Roman"/>
        <w:sz w:val="20"/>
        <w:szCs w:val="20"/>
        <w:rtl w:val="0"/>
      </w:rPr>
      <w:t xml:space="preserve">Quarta Avenida , nº 250 - Centro - CEP 88330-104 – (47) 3261-0000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pageBreakBefore w:val="0"/>
      <w:tabs>
        <w:tab w:val="left" w:leader="none" w:pos="1630"/>
      </w:tabs>
      <w:spacing w:after="0" w:line="240" w:lineRule="auto"/>
      <w:jc w:val="both"/>
      <w:rPr>
        <w:rFonts w:ascii="Ubuntu" w:cs="Ubuntu" w:eastAsia="Ubuntu" w:hAnsi="Ubuntu"/>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4762500</wp:posOffset>
          </wp:positionH>
          <wp:positionV relativeFrom="paragraph">
            <wp:posOffset>152400</wp:posOffset>
          </wp:positionV>
          <wp:extent cx="977900" cy="379095"/>
          <wp:effectExtent b="0" l="0" r="0" t="0"/>
          <wp:wrapSquare wrapText="bothSides" distB="0" distT="0" distL="114300" distR="114300"/>
          <wp:docPr descr="Logo Horizontal Azul" id="2" name="image1.png"/>
          <a:graphic>
            <a:graphicData uri="http://schemas.openxmlformats.org/drawingml/2006/picture">
              <pic:pic>
                <pic:nvPicPr>
                  <pic:cNvPr descr="Logo Horizontal Azul" id="0" name="image1.png"/>
                  <pic:cNvPicPr preferRelativeResize="0"/>
                </pic:nvPicPr>
                <pic:blipFill>
                  <a:blip r:embed="rId1"/>
                  <a:srcRect b="0" l="0" r="0" t="0"/>
                  <a:stretch>
                    <a:fillRect/>
                  </a:stretch>
                </pic:blipFill>
                <pic:spPr>
                  <a:xfrm>
                    <a:off x="0" y="0"/>
                    <a:ext cx="977900" cy="3790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2784475</wp:posOffset>
          </wp:positionH>
          <wp:positionV relativeFrom="paragraph">
            <wp:posOffset>88900</wp:posOffset>
          </wp:positionV>
          <wp:extent cx="1621155" cy="516255"/>
          <wp:effectExtent b="0" l="0" r="0" t="0"/>
          <wp:wrapSquare wrapText="bothSides" distB="0" distT="0" distL="114300" distR="114300"/>
          <wp:docPr descr="logo (1)" id="1" name="image2.png"/>
          <a:graphic>
            <a:graphicData uri="http://schemas.openxmlformats.org/drawingml/2006/picture">
              <pic:pic>
                <pic:nvPicPr>
                  <pic:cNvPr descr="logo (1)" id="0" name="image2.png"/>
                  <pic:cNvPicPr preferRelativeResize="0"/>
                </pic:nvPicPr>
                <pic:blipFill>
                  <a:blip r:embed="rId2"/>
                  <a:srcRect b="0" l="0" r="0" t="0"/>
                  <a:stretch>
                    <a:fillRect/>
                  </a:stretch>
                </pic:blipFill>
                <pic:spPr>
                  <a:xfrm>
                    <a:off x="0" y="0"/>
                    <a:ext cx="1621155" cy="516255"/>
                  </a:xfrm>
                  <a:prstGeom prst="rect"/>
                  <a:ln/>
                </pic:spPr>
              </pic:pic>
            </a:graphicData>
          </a:graphic>
        </wp:anchor>
      </w:drawing>
    </w:r>
  </w:p>
  <w:tbl>
    <w:tblPr>
      <w:tblStyle w:val="Table1"/>
      <w:tblW w:w="10080.0" w:type="dxa"/>
      <w:jc w:val="center"/>
      <w:tblLayout w:type="fixed"/>
      <w:tblLook w:val="0400"/>
    </w:tblPr>
    <w:tblGrid>
      <w:gridCol w:w="5355"/>
      <w:gridCol w:w="4725"/>
      <w:tblGridChange w:id="0">
        <w:tblGrid>
          <w:gridCol w:w="5355"/>
          <w:gridCol w:w="4725"/>
        </w:tblGrid>
      </w:tblGridChange>
    </w:tblGrid>
    <w:tr>
      <w:trPr>
        <w:cantSplit w:val="0"/>
        <w:trHeight w:val="180" w:hRule="atLeast"/>
        <w:tblHeader w:val="0"/>
      </w:trPr>
      <w:tc>
        <w:tcPr>
          <w:shd w:fill="auto" w:val="clear"/>
          <w:vAlign w:val="center"/>
        </w:tcPr>
        <w:p w:rsidR="00000000" w:rsidDel="00000000" w:rsidP="00000000" w:rsidRDefault="00000000" w:rsidRPr="00000000" w14:paraId="000000CB">
          <w:pPr>
            <w:pageBreakBefore w:val="0"/>
            <w:tabs>
              <w:tab w:val="left" w:leader="none" w:pos="163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ESTADO DE SANTA CATARINA</w:t>
          </w:r>
        </w:p>
      </w:tc>
      <w:tc>
        <w:tcPr>
          <w:vMerge w:val="restart"/>
          <w:shd w:fill="auto" w:val="clear"/>
          <w:vAlign w:val="center"/>
        </w:tcPr>
        <w:p w:rsidR="00000000" w:rsidDel="00000000" w:rsidP="00000000" w:rsidRDefault="00000000" w:rsidRPr="00000000" w14:paraId="000000CC">
          <w:pPr>
            <w:pageBreakBefore w:val="0"/>
            <w:tabs>
              <w:tab w:val="left" w:leader="none" w:pos="1630"/>
            </w:tabs>
            <w:spacing w:after="0" w:line="240" w:lineRule="auto"/>
            <w:rPr>
              <w:rFonts w:ascii="Ubuntu" w:cs="Ubuntu" w:eastAsia="Ubuntu" w:hAnsi="Ubuntu"/>
              <w:sz w:val="21"/>
              <w:szCs w:val="21"/>
            </w:rPr>
          </w:pPr>
          <w:r w:rsidDel="00000000" w:rsidR="00000000" w:rsidRPr="00000000">
            <w:rPr>
              <w:rtl w:val="0"/>
            </w:rPr>
          </w:r>
        </w:p>
      </w:tc>
    </w:tr>
    <w:tr>
      <w:trPr>
        <w:cantSplit w:val="0"/>
        <w:trHeight w:val="240" w:hRule="atLeast"/>
        <w:tblHeader w:val="0"/>
      </w:trPr>
      <w:tc>
        <w:tcPr>
          <w:shd w:fill="auto" w:val="clear"/>
          <w:vAlign w:val="center"/>
        </w:tcPr>
        <w:p w:rsidR="00000000" w:rsidDel="00000000" w:rsidP="00000000" w:rsidRDefault="00000000" w:rsidRPr="00000000" w14:paraId="000000CD">
          <w:pPr>
            <w:pageBreakBefore w:val="0"/>
            <w:tabs>
              <w:tab w:val="left" w:leader="none" w:pos="163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MUNICÍPIO DE BALNEÁRIO CAMBORIÚ</w:t>
          </w:r>
        </w:p>
      </w:tc>
      <w:tc>
        <w:tcPr>
          <w:vMerge w:val="continue"/>
          <w:shd w:fill="auto" w:val="clear"/>
          <w:vAlign w:val="center"/>
        </w:tcPr>
        <w:p w:rsidR="00000000" w:rsidDel="00000000" w:rsidP="00000000" w:rsidRDefault="00000000" w:rsidRPr="00000000" w14:paraId="000000CE">
          <w:pPr>
            <w:pageBreakBefore w:val="0"/>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140" w:hRule="atLeast"/>
        <w:tblHeader w:val="0"/>
      </w:trPr>
      <w:tc>
        <w:tcPr>
          <w:shd w:fill="auto" w:val="clear"/>
          <w:vAlign w:val="center"/>
        </w:tcPr>
        <w:p w:rsidR="00000000" w:rsidDel="00000000" w:rsidP="00000000" w:rsidRDefault="00000000" w:rsidRPr="00000000" w14:paraId="000000CF">
          <w:pPr>
            <w:pageBreakBefore w:val="0"/>
            <w:tabs>
              <w:tab w:val="left" w:leader="none" w:pos="1630"/>
            </w:tabs>
            <w:spacing w:after="0" w:line="24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EMPRESA MUNICIPAL DE ÁGUA E SANEAMENTO – EMASA</w:t>
          </w:r>
        </w:p>
      </w:tc>
      <w:tc>
        <w:tcPr>
          <w:vMerge w:val="continue"/>
          <w:shd w:fill="auto" w:val="clear"/>
          <w:vAlign w:val="center"/>
        </w:tcPr>
        <w:p w:rsidR="00000000" w:rsidDel="00000000" w:rsidP="00000000" w:rsidRDefault="00000000" w:rsidRPr="00000000" w14:paraId="000000D0">
          <w:pPr>
            <w:pageBreakBefore w:val="0"/>
            <w:widowControl w:val="0"/>
            <w:spacing w:after="0" w:line="276" w:lineRule="auto"/>
            <w:rPr>
              <w:rFonts w:ascii="Arial" w:cs="Arial" w:eastAsia="Arial" w:hAnsi="Arial"/>
              <w:sz w:val="16"/>
              <w:szCs w:val="16"/>
            </w:rPr>
          </w:pPr>
          <w:r w:rsidDel="00000000" w:rsidR="00000000" w:rsidRPr="00000000">
            <w:rPr>
              <w:rtl w:val="0"/>
            </w:rPr>
          </w:r>
        </w:p>
      </w:tc>
    </w:tr>
    <w:tr>
      <w:trPr>
        <w:cantSplit w:val="0"/>
        <w:trHeight w:val="225" w:hRule="atLeast"/>
        <w:tblHeader w:val="0"/>
      </w:trPr>
      <w:tc>
        <w:tcPr>
          <w:tcBorders>
            <w:bottom w:color="000000" w:space="0" w:sz="8" w:val="single"/>
          </w:tcBorders>
          <w:shd w:fill="auto" w:val="clear"/>
          <w:vAlign w:val="center"/>
        </w:tcPr>
        <w:p w:rsidR="00000000" w:rsidDel="00000000" w:rsidP="00000000" w:rsidRDefault="00000000" w:rsidRPr="00000000" w14:paraId="000000D1">
          <w:pPr>
            <w:pageBreakBefore w:val="0"/>
            <w:tabs>
              <w:tab w:val="left" w:leader="none" w:pos="1630"/>
            </w:tabs>
            <w:spacing w:after="0" w:line="240" w:lineRule="auto"/>
            <w:rPr>
              <w:rFonts w:ascii="Arial" w:cs="Arial" w:eastAsia="Arial" w:hAnsi="Arial"/>
              <w:sz w:val="16"/>
              <w:szCs w:val="16"/>
            </w:rPr>
          </w:pPr>
          <w:r w:rsidDel="00000000" w:rsidR="00000000" w:rsidRPr="00000000">
            <w:rPr>
              <w:rtl w:val="0"/>
            </w:rPr>
          </w:r>
        </w:p>
      </w:tc>
      <w:tc>
        <w:tcPr>
          <w:vMerge w:val="continue"/>
          <w:tcBorders>
            <w:bottom w:color="000000" w:space="0" w:sz="8" w:val="single"/>
          </w:tcBorders>
          <w:shd w:fill="auto" w:val="clear"/>
          <w:vAlign w:val="center"/>
        </w:tcPr>
        <w:p w:rsidR="00000000" w:rsidDel="00000000" w:rsidP="00000000" w:rsidRDefault="00000000" w:rsidRPr="00000000" w14:paraId="000000D2">
          <w:pPr>
            <w:pageBreakBefore w:val="0"/>
            <w:widowControl w:val="0"/>
            <w:spacing w:after="0" w:line="276" w:lineRule="auto"/>
            <w:rPr>
              <w:rFonts w:ascii="Arial" w:cs="Arial" w:eastAsia="Arial" w:hAnsi="Arial"/>
              <w:sz w:val="16"/>
              <w:szCs w:val="16"/>
            </w:rPr>
          </w:pPr>
          <w:r w:rsidDel="00000000" w:rsidR="00000000" w:rsidRPr="00000000">
            <w:rPr>
              <w:rtl w:val="0"/>
            </w:rPr>
          </w:r>
        </w:p>
      </w:tc>
    </w:tr>
  </w:tbl>
  <w:p w:rsidR="00000000" w:rsidDel="00000000" w:rsidP="00000000" w:rsidRDefault="00000000" w:rsidRPr="00000000" w14:paraId="000000D3">
    <w:pPr>
      <w:pageBreakBefore w:val="0"/>
      <w:tabs>
        <w:tab w:val="left" w:leader="none" w:pos="1630"/>
      </w:tabs>
      <w:spacing w:after="0" w:line="240" w:lineRule="auto"/>
      <w:jc w:val="both"/>
      <w:rPr>
        <w:rFonts w:ascii="Ubuntu" w:cs="Ubuntu" w:eastAsia="Ubuntu" w:hAnsi="Ubuntu"/>
        <w:sz w:val="4"/>
        <w:szCs w:val="4"/>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662" w:right="1702"/>
      <w:jc w:val="center"/>
    </w:pPr>
    <w:rPr>
      <w:rFonts w:ascii="Calibri" w:cs="Calibri" w:eastAsia="Calibri" w:hAnsi="Calibri"/>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c.sc.gov.br/arquivos/conteudo_downloads/TF6RB7AC.pdf"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